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D9AB54A" w14:textId="281D9D9B" w:rsidR="008D117B" w:rsidRPr="00F7188E" w:rsidRDefault="008D117B" w:rsidP="005903A3">
      <w:pPr>
        <w:pStyle w:val="Ploha"/>
        <w:spacing w:after="0" w:line="264" w:lineRule="auto"/>
        <w:ind w:left="1843" w:hanging="1843"/>
        <w:rPr>
          <w:rFonts w:ascii="Segoe UI" w:hAnsi="Segoe UI" w:cs="Segoe UI"/>
          <w:color w:val="808080" w:themeColor="background1" w:themeShade="80"/>
          <w:sz w:val="22"/>
          <w:szCs w:val="22"/>
        </w:rPr>
      </w:pPr>
    </w:p>
    <w:tbl>
      <w:tblPr>
        <w:tblStyle w:val="Mkatabulky"/>
        <w:tblW w:w="0" w:type="auto"/>
        <w:tblLook w:val="04A0" w:firstRow="1" w:lastRow="0" w:firstColumn="1" w:lastColumn="0" w:noHBand="0" w:noVBand="1"/>
      </w:tblPr>
      <w:tblGrid>
        <w:gridCol w:w="9070"/>
      </w:tblGrid>
      <w:tr w:rsidR="0005611F" w:rsidRPr="00F7188E" w14:paraId="66E72997" w14:textId="77777777" w:rsidTr="00365BAE">
        <w:tc>
          <w:tcPr>
            <w:tcW w:w="9070" w:type="dxa"/>
            <w:tcBorders>
              <w:top w:val="nil"/>
              <w:left w:val="nil"/>
              <w:right w:val="nil"/>
            </w:tcBorders>
          </w:tcPr>
          <w:p w14:paraId="438E40C7" w14:textId="77777777" w:rsidR="00BB7049" w:rsidRPr="00F7188E" w:rsidRDefault="00BB7049" w:rsidP="00CD3F76">
            <w:pPr>
              <w:spacing w:line="264" w:lineRule="auto"/>
              <w:jc w:val="both"/>
              <w:rPr>
                <w:rFonts w:ascii="Segoe UI" w:hAnsi="Segoe UI" w:cs="Segoe UI"/>
                <w:b/>
              </w:rPr>
            </w:pPr>
            <w:bookmarkStart w:id="0" w:name="_Toc11953658"/>
          </w:p>
          <w:p w14:paraId="46A83F41"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VÝZVA K PODÁNÍ NABÍDEK</w:t>
            </w:r>
          </w:p>
          <w:p w14:paraId="12FF4AD9" w14:textId="12D2FF06" w:rsidR="00D329A7" w:rsidRPr="00F7188E" w:rsidRDefault="00D329A7" w:rsidP="00CD3F76">
            <w:pPr>
              <w:spacing w:line="264" w:lineRule="auto"/>
              <w:jc w:val="both"/>
              <w:rPr>
                <w:rFonts w:ascii="Segoe UI" w:hAnsi="Segoe UI" w:cs="Segoe UI"/>
                <w:b/>
              </w:rPr>
            </w:pPr>
          </w:p>
        </w:tc>
      </w:tr>
      <w:tr w:rsidR="0005611F" w:rsidRPr="00F7188E" w14:paraId="692B6081" w14:textId="77777777" w:rsidTr="00365BAE">
        <w:tc>
          <w:tcPr>
            <w:tcW w:w="9070" w:type="dxa"/>
          </w:tcPr>
          <w:p w14:paraId="4D337FFD"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Zadavatel:</w:t>
            </w:r>
          </w:p>
          <w:p w14:paraId="1FD6930C" w14:textId="77777777" w:rsidR="0005611F" w:rsidRDefault="00F91D7B" w:rsidP="00CD3F76">
            <w:pPr>
              <w:spacing w:line="264" w:lineRule="auto"/>
              <w:jc w:val="both"/>
              <w:rPr>
                <w:rFonts w:ascii="Segoe UI" w:hAnsi="Segoe UI" w:cs="Segoe UI"/>
                <w:i/>
              </w:rPr>
            </w:pPr>
            <w:r w:rsidRPr="00F91D7B">
              <w:rPr>
                <w:rFonts w:ascii="Segoe UI" w:hAnsi="Segoe UI" w:cs="Segoe UI"/>
                <w:i/>
              </w:rPr>
              <w:t>Základní škola a mateřská škola Ostrava-Dubina, V. Košaře 6, příspěvková organizace</w:t>
            </w:r>
          </w:p>
          <w:p w14:paraId="0F657865" w14:textId="77777777" w:rsidR="00FE5066" w:rsidRDefault="00FE5066" w:rsidP="00CD3F76">
            <w:pPr>
              <w:spacing w:line="264" w:lineRule="auto"/>
              <w:jc w:val="both"/>
              <w:rPr>
                <w:rFonts w:ascii="Segoe UI" w:hAnsi="Segoe UI" w:cs="Segoe UI"/>
                <w:i/>
              </w:rPr>
            </w:pPr>
            <w:r w:rsidRPr="00FE5066">
              <w:rPr>
                <w:rFonts w:ascii="Segoe UI" w:hAnsi="Segoe UI" w:cs="Segoe UI"/>
                <w:i/>
              </w:rPr>
              <w:t>Václava Košaře 121/6, Dubina, 700 30 Ostrava</w:t>
            </w:r>
          </w:p>
          <w:p w14:paraId="4BC1E999" w14:textId="3827CA65" w:rsidR="00FE5066" w:rsidRPr="00F7188E" w:rsidRDefault="00D21B64" w:rsidP="00CD3F76">
            <w:pPr>
              <w:spacing w:line="264" w:lineRule="auto"/>
              <w:jc w:val="both"/>
              <w:rPr>
                <w:rFonts w:ascii="Segoe UI" w:hAnsi="Segoe UI" w:cs="Segoe UI"/>
                <w:i/>
              </w:rPr>
            </w:pPr>
            <w:r>
              <w:rPr>
                <w:rFonts w:ascii="Segoe UI" w:hAnsi="Segoe UI" w:cs="Segoe UI"/>
                <w:i/>
              </w:rPr>
              <w:t xml:space="preserve">IČO: </w:t>
            </w:r>
            <w:r w:rsidRPr="00D21B64">
              <w:rPr>
                <w:rFonts w:ascii="Segoe UI" w:hAnsi="Segoe UI" w:cs="Segoe UI"/>
                <w:i/>
              </w:rPr>
              <w:t>70631751</w:t>
            </w:r>
          </w:p>
        </w:tc>
      </w:tr>
      <w:tr w:rsidR="0005611F" w:rsidRPr="00F7188E" w14:paraId="3158E979" w14:textId="77777777" w:rsidTr="00365BAE">
        <w:tc>
          <w:tcPr>
            <w:tcW w:w="9070" w:type="dxa"/>
          </w:tcPr>
          <w:p w14:paraId="40223178"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Název zakázky:</w:t>
            </w:r>
            <w:bookmarkStart w:id="1" w:name="_GoBack"/>
            <w:bookmarkEnd w:id="1"/>
          </w:p>
          <w:p w14:paraId="7AD0A50D" w14:textId="431B0EFE" w:rsidR="0005611F" w:rsidRPr="00F7188E" w:rsidRDefault="00F91D7B" w:rsidP="00CD3F76">
            <w:pPr>
              <w:spacing w:line="264" w:lineRule="auto"/>
              <w:jc w:val="both"/>
              <w:rPr>
                <w:rFonts w:ascii="Segoe UI" w:hAnsi="Segoe UI" w:cs="Segoe UI"/>
                <w:i/>
              </w:rPr>
            </w:pPr>
            <w:bookmarkStart w:id="2" w:name="_Hlk201831901"/>
            <w:r>
              <w:rPr>
                <w:rFonts w:ascii="Segoe UI" w:hAnsi="Segoe UI" w:cs="Segoe UI"/>
                <w:i/>
              </w:rPr>
              <w:t>Rekonstrukce venkovních ploch před budovou školy</w:t>
            </w:r>
            <w:bookmarkEnd w:id="2"/>
          </w:p>
        </w:tc>
      </w:tr>
      <w:tr w:rsidR="0005611F" w:rsidRPr="00F7188E" w14:paraId="19A77021" w14:textId="77777777" w:rsidTr="00365BAE">
        <w:tc>
          <w:tcPr>
            <w:tcW w:w="9070" w:type="dxa"/>
          </w:tcPr>
          <w:p w14:paraId="3B018346" w14:textId="77777777" w:rsidR="0005611F" w:rsidRPr="00F7188E" w:rsidRDefault="0005611F" w:rsidP="00CD3F76">
            <w:pPr>
              <w:spacing w:line="264" w:lineRule="auto"/>
              <w:jc w:val="both"/>
              <w:rPr>
                <w:rFonts w:ascii="Segoe UI" w:hAnsi="Segoe UI" w:cs="Segoe UI"/>
              </w:rPr>
            </w:pPr>
            <w:r w:rsidRPr="00F7188E">
              <w:rPr>
                <w:rFonts w:ascii="Segoe UI" w:hAnsi="Segoe UI" w:cs="Segoe UI"/>
                <w:b/>
              </w:rPr>
              <w:t>Druh zakázky:</w:t>
            </w:r>
          </w:p>
          <w:p w14:paraId="4415F6BC" w14:textId="258459DB" w:rsidR="0005611F" w:rsidRPr="00F7188E" w:rsidRDefault="00F91D7B" w:rsidP="00CD3F76">
            <w:pPr>
              <w:spacing w:line="264" w:lineRule="auto"/>
              <w:jc w:val="both"/>
              <w:rPr>
                <w:rFonts w:ascii="Segoe UI" w:hAnsi="Segoe UI" w:cs="Segoe UI"/>
                <w:i/>
              </w:rPr>
            </w:pPr>
            <w:r>
              <w:rPr>
                <w:rFonts w:ascii="Segoe UI" w:hAnsi="Segoe UI" w:cs="Segoe UI"/>
                <w:i/>
              </w:rPr>
              <w:t>S</w:t>
            </w:r>
            <w:r w:rsidR="0005611F" w:rsidRPr="00F7188E">
              <w:rPr>
                <w:rFonts w:ascii="Segoe UI" w:hAnsi="Segoe UI" w:cs="Segoe UI"/>
                <w:i/>
              </w:rPr>
              <w:t>tavební práce</w:t>
            </w:r>
          </w:p>
        </w:tc>
      </w:tr>
      <w:tr w:rsidR="0005611F" w:rsidRPr="00F7188E" w14:paraId="5938A8BA" w14:textId="77777777" w:rsidTr="00365BAE">
        <w:tc>
          <w:tcPr>
            <w:tcW w:w="9070" w:type="dxa"/>
          </w:tcPr>
          <w:p w14:paraId="47854FB2"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Informace o rozdělení zakázky na části:</w:t>
            </w:r>
          </w:p>
          <w:p w14:paraId="604F31DC" w14:textId="6177FFDF" w:rsidR="0005611F" w:rsidRPr="00F7188E" w:rsidRDefault="0005611F" w:rsidP="00CD3F76">
            <w:pPr>
              <w:spacing w:line="264" w:lineRule="auto"/>
              <w:jc w:val="both"/>
              <w:rPr>
                <w:rFonts w:ascii="Segoe UI" w:hAnsi="Segoe UI" w:cs="Segoe UI"/>
                <w:b/>
              </w:rPr>
            </w:pPr>
            <w:r w:rsidRPr="00F7188E">
              <w:rPr>
                <w:rFonts w:ascii="Segoe UI" w:hAnsi="Segoe UI" w:cs="Segoe UI"/>
                <w:i/>
              </w:rPr>
              <w:t>Zakázka není rozdělena na části.</w:t>
            </w:r>
          </w:p>
        </w:tc>
      </w:tr>
      <w:tr w:rsidR="0005611F" w:rsidRPr="00F7188E" w14:paraId="3B086E3D" w14:textId="77777777" w:rsidTr="00365BAE">
        <w:tc>
          <w:tcPr>
            <w:tcW w:w="9070" w:type="dxa"/>
          </w:tcPr>
          <w:p w14:paraId="32E404B7"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Lhůta pro podání nabídky:</w:t>
            </w:r>
          </w:p>
          <w:p w14:paraId="7095B9DE" w14:textId="03E1043E" w:rsidR="0005611F" w:rsidRPr="00F7188E" w:rsidRDefault="00567EF4" w:rsidP="00CD3F76">
            <w:pPr>
              <w:spacing w:line="264" w:lineRule="auto"/>
              <w:jc w:val="both"/>
              <w:rPr>
                <w:rFonts w:ascii="Segoe UI" w:hAnsi="Segoe UI" w:cs="Segoe UI"/>
                <w:i/>
              </w:rPr>
            </w:pPr>
            <w:r w:rsidRPr="0093435A">
              <w:rPr>
                <w:rFonts w:ascii="Segoe UI" w:hAnsi="Segoe UI" w:cs="Segoe UI"/>
                <w:i/>
              </w:rPr>
              <w:t>26.</w:t>
            </w:r>
            <w:r w:rsidR="0093435A" w:rsidRPr="0093435A">
              <w:rPr>
                <w:rFonts w:ascii="Segoe UI" w:hAnsi="Segoe UI" w:cs="Segoe UI"/>
                <w:i/>
              </w:rPr>
              <w:t>06.2025</w:t>
            </w:r>
            <w:r w:rsidR="00F91D7B" w:rsidRPr="0093435A">
              <w:rPr>
                <w:rFonts w:ascii="Segoe UI" w:hAnsi="Segoe UI" w:cs="Segoe UI"/>
                <w:i/>
              </w:rPr>
              <w:t xml:space="preserve"> až </w:t>
            </w:r>
            <w:r w:rsidR="0093435A" w:rsidRPr="0093435A">
              <w:rPr>
                <w:rFonts w:ascii="Segoe UI" w:hAnsi="Segoe UI" w:cs="Segoe UI"/>
                <w:i/>
              </w:rPr>
              <w:t>10.07.2025 ve</w:t>
            </w:r>
            <w:r w:rsidR="00F91D7B" w:rsidRPr="0093435A">
              <w:rPr>
                <w:rFonts w:ascii="Segoe UI" w:hAnsi="Segoe UI" w:cs="Segoe UI"/>
                <w:i/>
              </w:rPr>
              <w:t xml:space="preserve"> 12 hodin</w:t>
            </w:r>
            <w:r w:rsidR="00F91D7B">
              <w:rPr>
                <w:rFonts w:ascii="Segoe UI" w:hAnsi="Segoe UI" w:cs="Segoe UI"/>
                <w:i/>
              </w:rPr>
              <w:t xml:space="preserve"> (min 10 dnů</w:t>
            </w:r>
            <w:r w:rsidR="00E86292">
              <w:rPr>
                <w:rFonts w:ascii="Segoe UI" w:hAnsi="Segoe UI" w:cs="Segoe UI"/>
                <w:i/>
              </w:rPr>
              <w:t xml:space="preserve"> v celku mezi vyhlášením </w:t>
            </w:r>
            <w:r w:rsidR="001A2AC0">
              <w:rPr>
                <w:rFonts w:ascii="Segoe UI" w:hAnsi="Segoe UI" w:cs="Segoe UI"/>
                <w:i/>
              </w:rPr>
              <w:t xml:space="preserve">a </w:t>
            </w:r>
            <w:r w:rsidR="00E86292">
              <w:rPr>
                <w:rFonts w:ascii="Segoe UI" w:hAnsi="Segoe UI" w:cs="Segoe UI"/>
                <w:i/>
              </w:rPr>
              <w:t>lhůtou</w:t>
            </w:r>
            <w:r w:rsidR="00F91D7B">
              <w:rPr>
                <w:rFonts w:ascii="Segoe UI" w:hAnsi="Segoe UI" w:cs="Segoe UI"/>
                <w:i/>
              </w:rPr>
              <w:t>)</w:t>
            </w:r>
          </w:p>
        </w:tc>
      </w:tr>
      <w:tr w:rsidR="0005611F" w:rsidRPr="00F7188E" w14:paraId="44035D6E" w14:textId="77777777" w:rsidTr="00365BAE">
        <w:tc>
          <w:tcPr>
            <w:tcW w:w="9070" w:type="dxa"/>
          </w:tcPr>
          <w:p w14:paraId="4D79E5EA"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Místo pro podání nabídky:</w:t>
            </w:r>
          </w:p>
          <w:p w14:paraId="58760DFC" w14:textId="1B6A56AF" w:rsidR="0005611F" w:rsidRPr="00F7188E" w:rsidRDefault="008A42EF" w:rsidP="00F91D7B">
            <w:pPr>
              <w:spacing w:line="264" w:lineRule="auto"/>
              <w:jc w:val="both"/>
              <w:rPr>
                <w:rFonts w:ascii="Segoe UI" w:hAnsi="Segoe UI" w:cs="Segoe UI"/>
                <w:i/>
              </w:rPr>
            </w:pPr>
            <w:r>
              <w:rPr>
                <w:rFonts w:ascii="Segoe UI" w:hAnsi="Segoe UI" w:cs="Segoe UI"/>
                <w:i/>
              </w:rPr>
              <w:t xml:space="preserve">Sídlo zadavatele: </w:t>
            </w:r>
            <w:r w:rsidRPr="008A42EF">
              <w:rPr>
                <w:rFonts w:ascii="Segoe UI" w:hAnsi="Segoe UI" w:cs="Segoe UI"/>
                <w:i/>
              </w:rPr>
              <w:t>Václava Košaře 121/6, Dubina, 700 30 Ostrava</w:t>
            </w:r>
          </w:p>
        </w:tc>
      </w:tr>
      <w:tr w:rsidR="0005611F" w:rsidRPr="00F7188E" w14:paraId="5359B698" w14:textId="77777777" w:rsidTr="00365BAE">
        <w:tc>
          <w:tcPr>
            <w:tcW w:w="9070" w:type="dxa"/>
          </w:tcPr>
          <w:p w14:paraId="5024197B"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Elektronický nástroj pro podání nabídky:</w:t>
            </w:r>
          </w:p>
          <w:p w14:paraId="13F25954" w14:textId="2B6C8729" w:rsidR="0005611F" w:rsidRPr="00F7188E" w:rsidRDefault="00F91D7B" w:rsidP="00CD3F76">
            <w:pPr>
              <w:spacing w:line="264" w:lineRule="auto"/>
              <w:jc w:val="both"/>
              <w:rPr>
                <w:rFonts w:ascii="Segoe UI" w:hAnsi="Segoe UI" w:cs="Segoe UI"/>
                <w:b/>
              </w:rPr>
            </w:pPr>
            <w:r>
              <w:rPr>
                <w:rFonts w:ascii="Segoe UI" w:hAnsi="Segoe UI" w:cs="Segoe UI"/>
                <w:i/>
              </w:rPr>
              <w:t>Nabídky jsou podány v listinné podobě</w:t>
            </w:r>
          </w:p>
        </w:tc>
      </w:tr>
      <w:tr w:rsidR="0005611F" w:rsidRPr="00F7188E" w14:paraId="7D64766E" w14:textId="77777777" w:rsidTr="00365BAE">
        <w:tc>
          <w:tcPr>
            <w:tcW w:w="9070" w:type="dxa"/>
          </w:tcPr>
          <w:p w14:paraId="33BEBF35"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Předmět zakázky:</w:t>
            </w:r>
          </w:p>
          <w:p w14:paraId="655C51CE" w14:textId="67437140" w:rsidR="004008C0" w:rsidRPr="004008C0" w:rsidRDefault="004008C0" w:rsidP="004008C0">
            <w:pPr>
              <w:spacing w:line="264" w:lineRule="auto"/>
              <w:jc w:val="both"/>
              <w:rPr>
                <w:rFonts w:ascii="Segoe UI" w:hAnsi="Segoe UI" w:cs="Segoe UI"/>
                <w:i/>
              </w:rPr>
            </w:pPr>
            <w:r w:rsidRPr="004008C0">
              <w:rPr>
                <w:rFonts w:ascii="Segoe UI" w:hAnsi="Segoe UI" w:cs="Segoe UI"/>
                <w:i/>
              </w:rPr>
              <w:t xml:space="preserve">Předmětem zakázky je kompletní realizace herní plochy s bezpečným polyuretanovým povrchem </w:t>
            </w:r>
            <w:r w:rsidR="00C57F4B">
              <w:rPr>
                <w:rFonts w:ascii="Segoe UI" w:hAnsi="Segoe UI" w:cs="Segoe UI"/>
                <w:i/>
              </w:rPr>
              <w:br/>
            </w:r>
            <w:r w:rsidRPr="004008C0">
              <w:rPr>
                <w:rFonts w:ascii="Segoe UI" w:hAnsi="Segoe UI" w:cs="Segoe UI"/>
                <w:i/>
              </w:rPr>
              <w:t xml:space="preserve">v areálu Základní školy a mateřské školy Ostrava-Dubina, ul. Václava Košaře 6. </w:t>
            </w:r>
          </w:p>
          <w:p w14:paraId="37BA33DD" w14:textId="28D0BC37" w:rsidR="0005611F" w:rsidRPr="00F7188E" w:rsidRDefault="004008C0" w:rsidP="00CD3F76">
            <w:pPr>
              <w:spacing w:line="264" w:lineRule="auto"/>
              <w:jc w:val="both"/>
              <w:rPr>
                <w:rFonts w:ascii="Segoe UI" w:hAnsi="Segoe UI" w:cs="Segoe UI"/>
                <w:i/>
              </w:rPr>
            </w:pPr>
            <w:r w:rsidRPr="004008C0">
              <w:rPr>
                <w:rFonts w:ascii="Segoe UI" w:hAnsi="Segoe UI" w:cs="Segoe UI"/>
                <w:i/>
              </w:rPr>
              <w:t xml:space="preserve">Technická specifikace, rozsah prací a seznam jednotlivých položek jsou uvedeny v </w:t>
            </w:r>
            <w:r w:rsidRPr="00800EC3">
              <w:rPr>
                <w:rFonts w:ascii="Segoe UI" w:hAnsi="Segoe UI" w:cs="Segoe UI"/>
                <w:b/>
                <w:bCs/>
                <w:i/>
              </w:rPr>
              <w:t xml:space="preserve">příloze </w:t>
            </w:r>
            <w:r w:rsidR="00C26876" w:rsidRPr="00800EC3">
              <w:rPr>
                <w:rFonts w:ascii="Segoe UI" w:hAnsi="Segoe UI" w:cs="Segoe UI"/>
                <w:b/>
                <w:bCs/>
                <w:i/>
              </w:rPr>
              <w:t>č. 4</w:t>
            </w:r>
            <w:r w:rsidR="00C26876">
              <w:rPr>
                <w:rFonts w:ascii="Segoe UI" w:hAnsi="Segoe UI" w:cs="Segoe UI"/>
                <w:i/>
              </w:rPr>
              <w:t xml:space="preserve"> </w:t>
            </w:r>
            <w:r w:rsidRPr="004008C0">
              <w:rPr>
                <w:rFonts w:ascii="Segoe UI" w:hAnsi="Segoe UI" w:cs="Segoe UI"/>
                <w:i/>
              </w:rPr>
              <w:t xml:space="preserve">této </w:t>
            </w:r>
            <w:r w:rsidR="00800EC3">
              <w:rPr>
                <w:rFonts w:ascii="Segoe UI" w:hAnsi="Segoe UI" w:cs="Segoe UI"/>
                <w:i/>
              </w:rPr>
              <w:t>výzvy</w:t>
            </w:r>
            <w:r w:rsidRPr="004008C0">
              <w:rPr>
                <w:rFonts w:ascii="Segoe UI" w:hAnsi="Segoe UI" w:cs="Segoe UI"/>
                <w:i/>
              </w:rPr>
              <w:t>.</w:t>
            </w:r>
          </w:p>
        </w:tc>
      </w:tr>
      <w:tr w:rsidR="00D6705B" w:rsidRPr="00F7188E" w14:paraId="3DCA822E" w14:textId="77777777" w:rsidTr="00365BAE">
        <w:tc>
          <w:tcPr>
            <w:tcW w:w="9070" w:type="dxa"/>
          </w:tcPr>
          <w:p w14:paraId="6E589FE1" w14:textId="77777777" w:rsidR="00D6705B" w:rsidRDefault="00D6705B" w:rsidP="00D6705B">
            <w:pPr>
              <w:tabs>
                <w:tab w:val="left" w:pos="8505"/>
              </w:tabs>
              <w:spacing w:after="120"/>
              <w:rPr>
                <w:rFonts w:ascii="Segoe UI" w:eastAsia="Segoe UI" w:hAnsi="Segoe UI" w:cs="Segoe UI"/>
                <w:b/>
              </w:rPr>
            </w:pPr>
            <w:r w:rsidRPr="00D6705B">
              <w:rPr>
                <w:rFonts w:ascii="Segoe UI" w:eastAsia="Segoe UI" w:hAnsi="Segoe UI" w:cs="Segoe UI"/>
                <w:b/>
              </w:rPr>
              <w:t>Předpokládaná hodnota zakázky</w:t>
            </w:r>
          </w:p>
          <w:p w14:paraId="1CF0F5EE" w14:textId="190DB70D" w:rsidR="00D6705B" w:rsidRPr="00EB0F95" w:rsidRDefault="0000578F" w:rsidP="00D6705B">
            <w:pPr>
              <w:tabs>
                <w:tab w:val="left" w:pos="8505"/>
              </w:tabs>
              <w:spacing w:after="120"/>
              <w:rPr>
                <w:rFonts w:cs="Arial"/>
              </w:rPr>
            </w:pPr>
            <w:r>
              <w:rPr>
                <w:rFonts w:cs="Arial"/>
              </w:rPr>
              <w:t>2 050 000,00 Kč bez DPH</w:t>
            </w:r>
          </w:p>
          <w:p w14:paraId="4D6BDB57" w14:textId="13D193B2" w:rsidR="00D6705B" w:rsidRPr="0000578F" w:rsidRDefault="00D6705B" w:rsidP="0000578F">
            <w:pPr>
              <w:tabs>
                <w:tab w:val="left" w:pos="8505"/>
              </w:tabs>
              <w:jc w:val="both"/>
              <w:rPr>
                <w:rFonts w:ascii="Segoe UI" w:hAnsi="Segoe UI" w:cs="Segoe UI"/>
                <w:i/>
                <w:iCs/>
              </w:rPr>
            </w:pPr>
            <w:r w:rsidRPr="0000578F">
              <w:rPr>
                <w:rFonts w:ascii="Segoe UI" w:hAnsi="Segoe UI" w:cs="Segoe UI"/>
                <w:i/>
                <w:iCs/>
                <w:u w:val="single"/>
              </w:rPr>
              <w:t>Předpokládaná hodnota je zároveň hodnotou maximální</w:t>
            </w:r>
            <w:r w:rsidRPr="0000578F">
              <w:rPr>
                <w:rFonts w:ascii="Segoe UI" w:hAnsi="Segoe UI" w:cs="Segoe UI"/>
                <w:i/>
                <w:iCs/>
              </w:rPr>
              <w:t xml:space="preserve">, její překročení bude posouzeno jako nesplnění zadávacích podmínek a bude důvodem pro vyloučení účastníka z výběrového řízení. </w:t>
            </w:r>
          </w:p>
        </w:tc>
      </w:tr>
      <w:tr w:rsidR="0005611F" w:rsidRPr="00F7188E" w14:paraId="3E3134F3" w14:textId="77777777" w:rsidTr="00572269">
        <w:trPr>
          <w:trHeight w:val="2403"/>
        </w:trPr>
        <w:tc>
          <w:tcPr>
            <w:tcW w:w="9070" w:type="dxa"/>
          </w:tcPr>
          <w:p w14:paraId="5A187E91" w14:textId="3D36E912" w:rsidR="00365BAE" w:rsidRDefault="00365BAE" w:rsidP="00365BAE">
            <w:pPr>
              <w:spacing w:after="5"/>
            </w:pPr>
            <w:r>
              <w:rPr>
                <w:rFonts w:ascii="Segoe UI" w:eastAsia="Segoe UI" w:hAnsi="Segoe UI" w:cs="Segoe UI"/>
                <w:b/>
              </w:rPr>
              <w:t xml:space="preserve">Kritéria hodnocení: </w:t>
            </w:r>
          </w:p>
          <w:p w14:paraId="78BC6201" w14:textId="77777777" w:rsidR="00365BAE" w:rsidRDefault="00365BAE" w:rsidP="00365BAE">
            <w:pPr>
              <w:spacing w:line="264" w:lineRule="auto"/>
              <w:jc w:val="both"/>
            </w:pPr>
            <w:r>
              <w:rPr>
                <w:rFonts w:ascii="Segoe UI" w:eastAsia="Segoe UI" w:hAnsi="Segoe UI" w:cs="Segoe UI"/>
                <w:i/>
              </w:rPr>
              <w:t xml:space="preserve">Zadavatel pro posouzení ekonomické výhodnosti stanovil jediné hodnotící kritérium, kterým je nabídková cena, tj. součet všech cen uvedených v položkovém rozpočtu. </w:t>
            </w:r>
          </w:p>
          <w:p w14:paraId="15461F73" w14:textId="33C630C4" w:rsidR="00365BAE" w:rsidRPr="00572269" w:rsidRDefault="00365BAE" w:rsidP="00365BAE">
            <w:pPr>
              <w:tabs>
                <w:tab w:val="left" w:pos="4536"/>
              </w:tabs>
              <w:spacing w:line="264" w:lineRule="auto"/>
              <w:jc w:val="both"/>
              <w:rPr>
                <w:rFonts w:ascii="Segoe UI" w:eastAsia="Segoe UI" w:hAnsi="Segoe UI" w:cs="Segoe UI"/>
                <w:i/>
              </w:rPr>
            </w:pPr>
            <w:r>
              <w:rPr>
                <w:rFonts w:ascii="Segoe UI" w:eastAsia="Segoe UI" w:hAnsi="Segoe UI" w:cs="Segoe UI"/>
                <w:i/>
              </w:rPr>
              <w:t xml:space="preserve">Dodavatel nacení jednotlivé položky v rámci </w:t>
            </w:r>
            <w:r>
              <w:rPr>
                <w:rFonts w:ascii="Segoe UI" w:eastAsia="Segoe UI" w:hAnsi="Segoe UI" w:cs="Segoe UI"/>
                <w:b/>
                <w:i/>
              </w:rPr>
              <w:t xml:space="preserve">přílohy č. 4 – Technické specifikace a stanovení nabídkové ceny. </w:t>
            </w:r>
            <w:r>
              <w:rPr>
                <w:rFonts w:ascii="Segoe UI" w:eastAsia="Segoe UI" w:hAnsi="Segoe UI" w:cs="Segoe UI"/>
                <w:i/>
              </w:rPr>
              <w:t>Uvedená nabídková cena je cena konečná a musí zahrnovat veškeré náklady vzniklé v souvislosti s předmětem plnění veřejné zakázky.</w:t>
            </w:r>
          </w:p>
        </w:tc>
      </w:tr>
      <w:tr w:rsidR="00572269" w:rsidRPr="00F7188E" w14:paraId="13135A6B" w14:textId="77777777" w:rsidTr="00365BAE">
        <w:trPr>
          <w:trHeight w:val="2403"/>
        </w:trPr>
        <w:tc>
          <w:tcPr>
            <w:tcW w:w="9070" w:type="dxa"/>
          </w:tcPr>
          <w:p w14:paraId="554991AA" w14:textId="77777777" w:rsidR="00572269" w:rsidRDefault="00572269" w:rsidP="00572269">
            <w:pPr>
              <w:spacing w:after="5"/>
            </w:pPr>
            <w:r>
              <w:rPr>
                <w:rFonts w:ascii="Segoe UI" w:eastAsia="Segoe UI" w:hAnsi="Segoe UI" w:cs="Segoe UI"/>
                <w:b/>
              </w:rPr>
              <w:t xml:space="preserve">Metoda hodnocení nabídek: </w:t>
            </w:r>
          </w:p>
          <w:p w14:paraId="02660506" w14:textId="77777777" w:rsidR="00572269" w:rsidRDefault="00572269" w:rsidP="00572269">
            <w:pPr>
              <w:spacing w:line="264" w:lineRule="auto"/>
              <w:ind w:right="66"/>
              <w:jc w:val="both"/>
            </w:pPr>
            <w:r>
              <w:rPr>
                <w:rFonts w:ascii="Segoe UI" w:eastAsia="Segoe UI" w:hAnsi="Segoe UI" w:cs="Segoe UI"/>
                <w:i/>
              </w:rPr>
              <w:t xml:space="preserve">Zadavatel seřadí nabídky podle nabídkové ceny vzestupně od nabídky s nejnižší nabídkovou cenou po nabídku s nejvyšší nabídkovou cenou. Zadavatel jako ekonomicky nejvýhodnější nabídku vybere nabídku s nejnižší nabídkovou cenou v Kč bez DPH. </w:t>
            </w:r>
          </w:p>
          <w:p w14:paraId="1EDB57A0" w14:textId="77777777" w:rsidR="00572269" w:rsidRDefault="00572269" w:rsidP="00572269">
            <w:pPr>
              <w:spacing w:after="5"/>
            </w:pPr>
            <w:r>
              <w:rPr>
                <w:rFonts w:ascii="Segoe UI" w:eastAsia="Segoe UI" w:hAnsi="Segoe UI" w:cs="Segoe UI"/>
                <w:i/>
              </w:rPr>
              <w:t xml:space="preserve">Účastník není oprávněn podmínit jím podanou nabídku a informace, které jsou předmětem hodnocení. </w:t>
            </w:r>
          </w:p>
          <w:p w14:paraId="5FBD618D" w14:textId="77777777" w:rsidR="00572269" w:rsidRDefault="00572269" w:rsidP="00572269">
            <w:pPr>
              <w:spacing w:after="5"/>
            </w:pPr>
            <w:r>
              <w:rPr>
                <w:rFonts w:ascii="Segoe UI" w:eastAsia="Segoe UI" w:hAnsi="Segoe UI" w:cs="Segoe UI"/>
                <w:i/>
              </w:rPr>
              <w:t xml:space="preserve">Podmínění je důvodem pro vyřazení nabídky a vyloučení účastníka ze zadávacího řízení. </w:t>
            </w:r>
          </w:p>
          <w:p w14:paraId="2228D22A" w14:textId="7F54598D" w:rsidR="00572269" w:rsidRDefault="00572269" w:rsidP="00572269">
            <w:pPr>
              <w:spacing w:after="5"/>
              <w:rPr>
                <w:rFonts w:ascii="Segoe UI" w:eastAsia="Segoe UI" w:hAnsi="Segoe UI" w:cs="Segoe UI"/>
                <w:b/>
              </w:rPr>
            </w:pPr>
            <w:r>
              <w:rPr>
                <w:rFonts w:ascii="Segoe UI" w:eastAsia="Segoe UI" w:hAnsi="Segoe UI" w:cs="Segoe UI"/>
                <w:i/>
              </w:rPr>
              <w:t>V případě, že zadavatel obdrží více nabídek se shodnou nabídkovou cenou, která bude zároveň cenou nejnižší, bude jako vítězná vybrána ta nabídka, kterou zadavatel obdržel dříve.</w:t>
            </w:r>
          </w:p>
        </w:tc>
      </w:tr>
      <w:tr w:rsidR="0005611F" w:rsidRPr="00F7188E" w14:paraId="411907FF" w14:textId="77777777" w:rsidTr="00365BAE">
        <w:tc>
          <w:tcPr>
            <w:tcW w:w="9070" w:type="dxa"/>
          </w:tcPr>
          <w:p w14:paraId="32CB9C25"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Podmínky a požadavky na zpracování nabídky:</w:t>
            </w:r>
          </w:p>
          <w:p w14:paraId="7A8BC0D4" w14:textId="77777777" w:rsidR="00365BAE" w:rsidRDefault="00365BAE" w:rsidP="00365BAE">
            <w:pPr>
              <w:spacing w:after="5"/>
            </w:pPr>
            <w:r>
              <w:rPr>
                <w:rFonts w:ascii="Segoe UI" w:eastAsia="Segoe UI" w:hAnsi="Segoe UI" w:cs="Segoe UI"/>
                <w:i/>
              </w:rPr>
              <w:t xml:space="preserve">Kompletní nabídka bude předložena v elektronické formě v českém jazyce.  </w:t>
            </w:r>
          </w:p>
          <w:p w14:paraId="5E717F5F" w14:textId="77777777" w:rsidR="00365BAE" w:rsidRDefault="00365BAE" w:rsidP="00365BAE">
            <w:pPr>
              <w:spacing w:after="1" w:line="263" w:lineRule="auto"/>
              <w:ind w:right="58"/>
              <w:jc w:val="both"/>
            </w:pPr>
            <w:r>
              <w:rPr>
                <w:rFonts w:ascii="Segoe UI" w:eastAsia="Segoe UI" w:hAnsi="Segoe UI" w:cs="Segoe UI"/>
                <w:i/>
              </w:rPr>
              <w:lastRenderedPageBreak/>
              <w:t xml:space="preserve">Dodavatel může podat pouze jednu nabídku. Dodavatel, který podal nabídku v zadávacím řízení, nesmí být současně osobou, jejímž prostřednictvím jiný dodavatel v tomtéž zadávacím řízení prokazuje kvalifikaci. </w:t>
            </w:r>
          </w:p>
          <w:p w14:paraId="4330512E" w14:textId="77777777" w:rsidR="00365BAE" w:rsidRDefault="00365BAE" w:rsidP="00365BAE">
            <w:pPr>
              <w:spacing w:after="40"/>
            </w:pPr>
            <w:r>
              <w:rPr>
                <w:rFonts w:ascii="Segoe UI" w:eastAsia="Segoe UI" w:hAnsi="Segoe UI" w:cs="Segoe UI"/>
                <w:i/>
              </w:rPr>
              <w:t xml:space="preserve">Zadavatel doporučuje níže uvedené pořadí dokumentů specifikované v následujících bodech: </w:t>
            </w:r>
          </w:p>
          <w:p w14:paraId="2FA71A3E"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1 výzvy – Krycí list nabídky </w:t>
            </w:r>
          </w:p>
          <w:p w14:paraId="38A68FC5"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2 výzvy – Čestné prohlášení k základní způsobilosti </w:t>
            </w:r>
          </w:p>
          <w:p w14:paraId="68E64AD6"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3 výzvy – Čestné prohlášení k technické kvalifikaci  </w:t>
            </w:r>
          </w:p>
          <w:p w14:paraId="65D1DE83"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4 výzvy – Technická specifikace a stanovení nabídkové ceny </w:t>
            </w:r>
          </w:p>
          <w:p w14:paraId="3F524193"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5 výzvy – Čestné prohlášení o neexistenci střetu zájmů </w:t>
            </w:r>
          </w:p>
          <w:p w14:paraId="51AA7327" w14:textId="77777777" w:rsidR="00365BAE" w:rsidRDefault="00365BAE" w:rsidP="00365BAE">
            <w:pPr>
              <w:numPr>
                <w:ilvl w:val="0"/>
                <w:numId w:val="38"/>
              </w:numPr>
              <w:spacing w:after="41" w:line="259" w:lineRule="auto"/>
              <w:ind w:hanging="360"/>
            </w:pPr>
            <w:r>
              <w:rPr>
                <w:rFonts w:ascii="Segoe UI" w:eastAsia="Segoe UI" w:hAnsi="Segoe UI" w:cs="Segoe UI"/>
                <w:i/>
              </w:rPr>
              <w:t xml:space="preserve">Vyplněná příloha č. 6 výzvy – Čestné prohlášení ve vztahu k ruským/běloruským subjektům </w:t>
            </w:r>
          </w:p>
          <w:p w14:paraId="13107557"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7 výzvy – Seznam poddodavatelů </w:t>
            </w:r>
          </w:p>
          <w:p w14:paraId="797239BB" w14:textId="77777777"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8 výzvy – Návrh smlouvy </w:t>
            </w:r>
          </w:p>
          <w:p w14:paraId="4831FF39" w14:textId="11C621ED" w:rsidR="0005611F" w:rsidRPr="00F7188E" w:rsidRDefault="00800EC3" w:rsidP="00CD3F76">
            <w:pPr>
              <w:spacing w:line="264" w:lineRule="auto"/>
              <w:jc w:val="both"/>
              <w:rPr>
                <w:rFonts w:ascii="Segoe UI" w:hAnsi="Segoe UI" w:cs="Segoe UI"/>
                <w:i/>
              </w:rPr>
            </w:pPr>
            <w:r w:rsidRPr="004008C0">
              <w:rPr>
                <w:rFonts w:ascii="Segoe UI" w:hAnsi="Segoe UI" w:cs="Segoe UI"/>
                <w:b/>
                <w:bCs/>
                <w:i/>
              </w:rPr>
              <w:t>Vlastní grafický návrh řešení je povinnou součástí nabídky.</w:t>
            </w:r>
            <w:r w:rsidRPr="004008C0">
              <w:rPr>
                <w:rFonts w:ascii="Segoe UI" w:hAnsi="Segoe UI" w:cs="Segoe UI"/>
                <w:i/>
              </w:rPr>
              <w:t xml:space="preserve"> Nabídka musí obsahovat minimálně dva pohledy a jeden půdorys herní plochy. Nabídky bez doloženého grafického návrhu nebudou hodnoceny.</w:t>
            </w:r>
          </w:p>
        </w:tc>
      </w:tr>
      <w:tr w:rsidR="0005611F" w:rsidRPr="00F7188E" w14:paraId="05BDA2A1" w14:textId="77777777" w:rsidTr="00365BAE">
        <w:tc>
          <w:tcPr>
            <w:tcW w:w="9070" w:type="dxa"/>
          </w:tcPr>
          <w:p w14:paraId="785496C1"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lastRenderedPageBreak/>
              <w:t>Požadavek na způsob zpracování nabídkové ceny:</w:t>
            </w:r>
          </w:p>
          <w:p w14:paraId="44950B18" w14:textId="77777777" w:rsidR="0005611F" w:rsidRDefault="0005611F" w:rsidP="00CD3F76">
            <w:pPr>
              <w:spacing w:line="264" w:lineRule="auto"/>
              <w:jc w:val="both"/>
              <w:rPr>
                <w:rFonts w:ascii="Segoe UI" w:hAnsi="Segoe UI" w:cs="Segoe UI"/>
                <w:i/>
              </w:rPr>
            </w:pPr>
            <w:r w:rsidRPr="00F7188E">
              <w:rPr>
                <w:rFonts w:ascii="Segoe UI" w:hAnsi="Segoe UI" w:cs="Segoe UI"/>
                <w:i/>
              </w:rPr>
              <w:t>včetně uvedení ceny bez DPH a včetně DPH</w:t>
            </w:r>
          </w:p>
          <w:p w14:paraId="7926615E" w14:textId="77777777" w:rsidR="00365BAE" w:rsidRDefault="00365BAE" w:rsidP="00CD3F76">
            <w:pPr>
              <w:spacing w:line="264" w:lineRule="auto"/>
              <w:jc w:val="both"/>
              <w:rPr>
                <w:rFonts w:ascii="Segoe UI" w:hAnsi="Segoe UI" w:cs="Segoe UI"/>
                <w:i/>
              </w:rPr>
            </w:pPr>
          </w:p>
          <w:p w14:paraId="60285123" w14:textId="52B9E2F2" w:rsidR="00365BAE" w:rsidRPr="00F7188E" w:rsidRDefault="00365BAE" w:rsidP="00CD3F76">
            <w:pPr>
              <w:spacing w:line="264" w:lineRule="auto"/>
              <w:jc w:val="both"/>
              <w:rPr>
                <w:rFonts w:ascii="Segoe UI" w:hAnsi="Segoe UI" w:cs="Segoe UI"/>
                <w:i/>
              </w:rPr>
            </w:pPr>
            <w:r>
              <w:rPr>
                <w:rFonts w:ascii="Segoe UI" w:eastAsia="Segoe UI" w:hAnsi="Segoe UI" w:cs="Segoe UI"/>
                <w:i/>
              </w:rPr>
              <w:t>Dodavatel nacení jednotlivé položky v rámci přílohy č. 4 – Technické specifikace a stanovení nabídkové ceny. Za nabídkovou cenu bude považována vypočtená cena za všechny položky v Kč bez DPH. Uvedená nabídková cena je cena konečná a musí zahrnovat veškeré náklady vzniklé v souvislosti s předmětem plnění veřejné zakázky.</w:t>
            </w:r>
          </w:p>
        </w:tc>
      </w:tr>
      <w:tr w:rsidR="0005611F" w:rsidRPr="00F7188E" w14:paraId="6550E4CC" w14:textId="77777777" w:rsidTr="00365BAE">
        <w:tc>
          <w:tcPr>
            <w:tcW w:w="9070" w:type="dxa"/>
          </w:tcPr>
          <w:p w14:paraId="5714B814" w14:textId="77777777" w:rsidR="0005611F" w:rsidRPr="00F7188E" w:rsidRDefault="0005611F" w:rsidP="00CD3F76">
            <w:pPr>
              <w:spacing w:line="264" w:lineRule="auto"/>
              <w:jc w:val="both"/>
              <w:rPr>
                <w:rFonts w:ascii="Segoe UI" w:hAnsi="Segoe UI" w:cs="Segoe UI"/>
                <w:b/>
              </w:rPr>
            </w:pPr>
            <w:r w:rsidRPr="00F7188E">
              <w:rPr>
                <w:rFonts w:ascii="Segoe UI" w:hAnsi="Segoe UI" w:cs="Segoe UI"/>
                <w:b/>
              </w:rPr>
              <w:t>Doba a místo plnění zakázky:</w:t>
            </w:r>
          </w:p>
          <w:p w14:paraId="55F43276" w14:textId="77777777" w:rsidR="00365BAE" w:rsidRDefault="00365BAE" w:rsidP="00365BAE">
            <w:pPr>
              <w:spacing w:after="5"/>
            </w:pPr>
            <w:r>
              <w:rPr>
                <w:rFonts w:ascii="Segoe UI" w:eastAsia="Segoe UI" w:hAnsi="Segoe UI" w:cs="Segoe UI"/>
                <w:i/>
                <w:u w:val="single" w:color="000000"/>
              </w:rPr>
              <w:t>Předpokládaný termín plnění</w:t>
            </w:r>
            <w:r>
              <w:rPr>
                <w:rFonts w:ascii="Segoe UI" w:eastAsia="Segoe UI" w:hAnsi="Segoe UI" w:cs="Segoe UI"/>
                <w:i/>
              </w:rPr>
              <w:t xml:space="preserve">: Uvedeno v čl. III návrhu smlouvy. </w:t>
            </w:r>
          </w:p>
          <w:p w14:paraId="3EEB560C" w14:textId="16607E10" w:rsidR="0005611F" w:rsidRPr="00F7188E" w:rsidRDefault="00365BAE" w:rsidP="00365BAE">
            <w:pPr>
              <w:spacing w:line="264" w:lineRule="auto"/>
              <w:jc w:val="both"/>
              <w:rPr>
                <w:rFonts w:ascii="Segoe UI" w:hAnsi="Segoe UI" w:cs="Segoe UI"/>
                <w:i/>
              </w:rPr>
            </w:pPr>
            <w:r>
              <w:rPr>
                <w:rFonts w:ascii="Segoe UI" w:eastAsia="Segoe UI" w:hAnsi="Segoe UI" w:cs="Segoe UI"/>
                <w:i/>
                <w:u w:val="single" w:color="000000"/>
              </w:rPr>
              <w:t>Místo plnění</w:t>
            </w:r>
            <w:r>
              <w:rPr>
                <w:rFonts w:ascii="Segoe UI" w:eastAsia="Segoe UI" w:hAnsi="Segoe UI" w:cs="Segoe UI"/>
                <w:i/>
              </w:rPr>
              <w:t xml:space="preserve">: Sídlo zadavatele </w:t>
            </w:r>
          </w:p>
        </w:tc>
      </w:tr>
      <w:tr w:rsidR="0005611F" w:rsidRPr="00F7188E" w14:paraId="589412AA" w14:textId="77777777" w:rsidTr="00365BAE">
        <w:tc>
          <w:tcPr>
            <w:tcW w:w="9070" w:type="dxa"/>
          </w:tcPr>
          <w:p w14:paraId="0018BC29" w14:textId="77777777" w:rsidR="0005611F" w:rsidRPr="00F7188E" w:rsidRDefault="0005611F" w:rsidP="007D5B3E">
            <w:pPr>
              <w:keepNext/>
              <w:spacing w:line="264" w:lineRule="auto"/>
              <w:jc w:val="both"/>
              <w:rPr>
                <w:rFonts w:ascii="Segoe UI" w:hAnsi="Segoe UI" w:cs="Segoe UI"/>
              </w:rPr>
            </w:pPr>
            <w:r w:rsidRPr="00F7188E">
              <w:rPr>
                <w:rFonts w:ascii="Segoe UI" w:hAnsi="Segoe UI" w:cs="Segoe UI"/>
                <w:b/>
              </w:rPr>
              <w:t>Vysvětlení zadávacích podmínek:</w:t>
            </w:r>
          </w:p>
          <w:p w14:paraId="4FF72D5C" w14:textId="0FFE8869" w:rsidR="0005611F" w:rsidRPr="00F7188E" w:rsidRDefault="00365BAE" w:rsidP="00CD3F76">
            <w:pPr>
              <w:spacing w:line="264" w:lineRule="auto"/>
              <w:jc w:val="both"/>
              <w:rPr>
                <w:rFonts w:ascii="Segoe UI" w:hAnsi="Segoe UI" w:cs="Segoe UI"/>
                <w:i/>
              </w:rPr>
            </w:pPr>
            <w:r>
              <w:rPr>
                <w:rFonts w:ascii="Segoe UI" w:eastAsia="Segoe UI" w:hAnsi="Segoe UI" w:cs="Segoe UI"/>
                <w:i/>
              </w:rPr>
              <w:t>Dodavatel je oprávněn po zadavateli požadovat vysvětlení zadávacích podmínek. Písemná žádost musí být zadavateli doručena nejpozději 4 pracovní dny před uplynutím lhůty pro podání nabídek. Vysvětlení zadávacích podmínek může zadavatel poskytnout i bez předchozí žádosti nebo na základě pozdě doručené žádosti. Zadavatel uveřejní, odešle nebo předá vysvětlení zadávacích podmínek, případně související dokumenty, nejpozději do 2 pracovních dnů po doručení žádosti. Pokud zadavatel na žádost o vysvětlení, která není doručena včas, vysvětlení poskytne, nemusí tuto lhůtu dodržet</w:t>
            </w:r>
            <w:r w:rsidR="0005611F" w:rsidRPr="00F7188E">
              <w:rPr>
                <w:rFonts w:ascii="Segoe UI" w:hAnsi="Segoe UI" w:cs="Segoe UI"/>
                <w:i/>
              </w:rPr>
              <w:t>.</w:t>
            </w:r>
          </w:p>
        </w:tc>
      </w:tr>
      <w:tr w:rsidR="0005611F" w:rsidRPr="00F7188E" w14:paraId="7D8F75A2" w14:textId="77777777" w:rsidTr="00365BAE">
        <w:tc>
          <w:tcPr>
            <w:tcW w:w="9070" w:type="dxa"/>
          </w:tcPr>
          <w:p w14:paraId="439CEEFB" w14:textId="7903B104" w:rsidR="0005611F" w:rsidRPr="00F7188E" w:rsidRDefault="0005611F" w:rsidP="00CD3F76">
            <w:pPr>
              <w:spacing w:line="264" w:lineRule="auto"/>
              <w:jc w:val="both"/>
              <w:rPr>
                <w:rFonts w:ascii="Segoe UI" w:hAnsi="Segoe UI" w:cs="Segoe UI"/>
                <w:b/>
              </w:rPr>
            </w:pPr>
            <w:r w:rsidRPr="00F7188E">
              <w:rPr>
                <w:rFonts w:ascii="Segoe UI" w:hAnsi="Segoe UI" w:cs="Segoe UI"/>
                <w:b/>
              </w:rPr>
              <w:t>Požadavky na prokázání kvalifikace:</w:t>
            </w:r>
            <w:r w:rsidR="00B500D0">
              <w:rPr>
                <w:rFonts w:ascii="Segoe UI" w:hAnsi="Segoe UI" w:cs="Segoe UI"/>
                <w:b/>
              </w:rPr>
              <w:t xml:space="preserve"> </w:t>
            </w:r>
          </w:p>
          <w:p w14:paraId="53464BD5" w14:textId="77777777" w:rsidR="004008C0" w:rsidRDefault="004008C0" w:rsidP="004008C0">
            <w:pPr>
              <w:spacing w:after="5"/>
            </w:pPr>
            <w:r>
              <w:rPr>
                <w:rFonts w:ascii="Segoe UI" w:eastAsia="Segoe UI" w:hAnsi="Segoe UI" w:cs="Segoe UI"/>
                <w:i/>
                <w:u w:val="single" w:color="000000"/>
              </w:rPr>
              <w:t>Základní způsobilost</w:t>
            </w:r>
            <w:r>
              <w:rPr>
                <w:rFonts w:ascii="Segoe UI" w:eastAsia="Segoe UI" w:hAnsi="Segoe UI" w:cs="Segoe UI"/>
                <w:i/>
              </w:rPr>
              <w:t xml:space="preserve"> </w:t>
            </w:r>
          </w:p>
          <w:p w14:paraId="4AD81620" w14:textId="77777777" w:rsidR="004008C0" w:rsidRDefault="004008C0" w:rsidP="004008C0">
            <w:pPr>
              <w:spacing w:after="40"/>
            </w:pPr>
            <w:r>
              <w:rPr>
                <w:rFonts w:ascii="Segoe UI" w:eastAsia="Segoe UI" w:hAnsi="Segoe UI" w:cs="Segoe UI"/>
                <w:i/>
              </w:rPr>
              <w:t xml:space="preserve">Základní způsobilost splní účastník zadávacího řízení: </w:t>
            </w:r>
          </w:p>
          <w:p w14:paraId="5ED5AB1B" w14:textId="77777777" w:rsidR="004008C0" w:rsidRDefault="004008C0" w:rsidP="004008C0">
            <w:pPr>
              <w:numPr>
                <w:ilvl w:val="0"/>
                <w:numId w:val="39"/>
              </w:numPr>
              <w:spacing w:after="35" w:line="264" w:lineRule="auto"/>
              <w:ind w:hanging="360"/>
              <w:jc w:val="both"/>
            </w:pPr>
            <w:r>
              <w:rPr>
                <w:rFonts w:ascii="Segoe UI" w:eastAsia="Segoe UI" w:hAnsi="Segoe UI" w:cs="Segoe UI"/>
                <w:i/>
              </w:rPr>
              <w:t xml:space="preserve">který nebyl v zemi svého sídla v posledních 5 letech před zahájením zadávacího řízení pravomocně odsouzen pro trestný čin uvedený v příloze č. 3 k zákonu o zadávání veřejných zakázek nebo obdobný trestný čin podle právního řádu země sídla dodavatele; k zahlazeným odsouzením se nepřihlíží, </w:t>
            </w:r>
          </w:p>
          <w:p w14:paraId="461210B6" w14:textId="77777777" w:rsidR="004008C0" w:rsidRDefault="004008C0" w:rsidP="004008C0">
            <w:pPr>
              <w:numPr>
                <w:ilvl w:val="0"/>
                <w:numId w:val="39"/>
              </w:numPr>
              <w:spacing w:after="37" w:line="262" w:lineRule="auto"/>
              <w:ind w:hanging="360"/>
              <w:jc w:val="both"/>
            </w:pPr>
            <w:r>
              <w:rPr>
                <w:rFonts w:ascii="Segoe UI" w:eastAsia="Segoe UI" w:hAnsi="Segoe UI" w:cs="Segoe UI"/>
                <w:i/>
              </w:rPr>
              <w:t xml:space="preserve">který nemá v České republice nebo v zemi svého sídla v evidenci daní zachycen splatný daňový nedoplatek, </w:t>
            </w:r>
          </w:p>
          <w:p w14:paraId="3E17F128" w14:textId="77777777" w:rsidR="004008C0" w:rsidRDefault="004008C0" w:rsidP="004008C0">
            <w:pPr>
              <w:numPr>
                <w:ilvl w:val="0"/>
                <w:numId w:val="39"/>
              </w:numPr>
              <w:spacing w:after="35" w:line="264" w:lineRule="auto"/>
              <w:ind w:hanging="360"/>
              <w:jc w:val="both"/>
            </w:pPr>
            <w:r>
              <w:rPr>
                <w:rFonts w:ascii="Segoe UI" w:eastAsia="Segoe UI" w:hAnsi="Segoe UI" w:cs="Segoe UI"/>
                <w:i/>
              </w:rPr>
              <w:t xml:space="preserve">který nemá v České republice nebo v zemi svého sídla splatný nedoplatek na pojistném nebo na penále na veřejné zdravotní pojištění, </w:t>
            </w:r>
          </w:p>
          <w:p w14:paraId="378B599B" w14:textId="77777777" w:rsidR="004008C0" w:rsidRDefault="004008C0" w:rsidP="004008C0">
            <w:pPr>
              <w:numPr>
                <w:ilvl w:val="0"/>
                <w:numId w:val="39"/>
              </w:numPr>
              <w:spacing w:after="35" w:line="264" w:lineRule="auto"/>
              <w:ind w:hanging="360"/>
              <w:jc w:val="both"/>
            </w:pPr>
            <w:r>
              <w:rPr>
                <w:rFonts w:ascii="Segoe UI" w:eastAsia="Segoe UI" w:hAnsi="Segoe UI" w:cs="Segoe UI"/>
                <w:i/>
              </w:rPr>
              <w:t xml:space="preserve">který nemá v České republice nebo v zemi svého sídla splatný nedoplatek na pojistném nebo na penále na sociální zabezpečení a příspěvku na státní politiku zaměstnanosti, </w:t>
            </w:r>
          </w:p>
          <w:p w14:paraId="53D34DBF" w14:textId="77777777" w:rsidR="0005611F" w:rsidRDefault="004008C0" w:rsidP="004008C0">
            <w:pPr>
              <w:spacing w:line="264" w:lineRule="auto"/>
              <w:jc w:val="both"/>
              <w:rPr>
                <w:rFonts w:ascii="Segoe UI" w:eastAsia="Segoe UI" w:hAnsi="Segoe UI" w:cs="Segoe UI"/>
                <w:i/>
              </w:rPr>
            </w:pPr>
            <w:r>
              <w:rPr>
                <w:rFonts w:ascii="Segoe UI" w:eastAsia="Segoe UI" w:hAnsi="Segoe UI" w:cs="Segoe UI"/>
                <w:i/>
              </w:rPr>
              <w:lastRenderedPageBreak/>
              <w:t>který není v likvidaci, nebylo proti němu vydáno rozhodnutí o úpadku, nebyla vůči němu nařízena nucená správa podle jiného právního předpisu nebo se nenachází v obdobné situaci podle právního řádu země sídla dodavatele.</w:t>
            </w:r>
          </w:p>
          <w:p w14:paraId="638F7BBE" w14:textId="77777777" w:rsidR="004008C0" w:rsidRDefault="004008C0" w:rsidP="004008C0">
            <w:pPr>
              <w:spacing w:line="264" w:lineRule="auto"/>
              <w:jc w:val="both"/>
              <w:rPr>
                <w:rFonts w:ascii="Segoe UI" w:hAnsi="Segoe UI" w:cs="Segoe UI"/>
                <w:i/>
              </w:rPr>
            </w:pPr>
          </w:p>
          <w:p w14:paraId="128B1340" w14:textId="77777777" w:rsidR="004008C0" w:rsidRDefault="004008C0" w:rsidP="004008C0">
            <w:pPr>
              <w:spacing w:line="264" w:lineRule="auto"/>
              <w:ind w:right="115"/>
              <w:jc w:val="both"/>
              <w:rPr>
                <w:rFonts w:ascii="Segoe UI" w:eastAsia="Segoe UI" w:hAnsi="Segoe UI" w:cs="Segoe UI"/>
                <w:i/>
              </w:rPr>
            </w:pPr>
            <w:r>
              <w:rPr>
                <w:rFonts w:ascii="Segoe UI" w:eastAsia="Segoe UI" w:hAnsi="Segoe UI" w:cs="Segoe UI"/>
                <w:i/>
              </w:rPr>
              <w:t xml:space="preserve">Účastník prokazuje splnění podmínek základní způsobilosti </w:t>
            </w:r>
            <w:r>
              <w:rPr>
                <w:rFonts w:ascii="Segoe UI" w:eastAsia="Segoe UI" w:hAnsi="Segoe UI" w:cs="Segoe UI"/>
                <w:b/>
                <w:i/>
              </w:rPr>
              <w:t>předložením čestného prohlášení o skutečnostech dle výše uvedených bodů</w:t>
            </w:r>
            <w:r>
              <w:rPr>
                <w:rFonts w:ascii="Segoe UI" w:eastAsia="Segoe UI" w:hAnsi="Segoe UI" w:cs="Segoe UI"/>
                <w:i/>
              </w:rPr>
              <w:t>. Zadavatel poskytuje jako přílohu této zadávací dokumentace vzor čestného prohlášení k základní způsobilosti (</w:t>
            </w:r>
            <w:r>
              <w:rPr>
                <w:rFonts w:ascii="Segoe UI" w:eastAsia="Segoe UI" w:hAnsi="Segoe UI" w:cs="Segoe UI"/>
                <w:b/>
                <w:i/>
              </w:rPr>
              <w:t>vzor tvoří přílohu č. 2 výzvy</w:t>
            </w:r>
            <w:r>
              <w:rPr>
                <w:rFonts w:ascii="Segoe UI" w:eastAsia="Segoe UI" w:hAnsi="Segoe UI" w:cs="Segoe UI"/>
                <w:i/>
              </w:rPr>
              <w:t xml:space="preserve">). </w:t>
            </w:r>
          </w:p>
          <w:p w14:paraId="3CF484CB" w14:textId="77777777" w:rsidR="004008C0" w:rsidRDefault="004008C0" w:rsidP="004008C0">
            <w:pPr>
              <w:spacing w:line="264" w:lineRule="auto"/>
              <w:ind w:right="115"/>
              <w:jc w:val="both"/>
            </w:pPr>
          </w:p>
          <w:p w14:paraId="42CBBE26" w14:textId="77777777" w:rsidR="004008C0" w:rsidRDefault="004008C0" w:rsidP="004008C0">
            <w:pPr>
              <w:spacing w:after="6"/>
            </w:pPr>
            <w:r>
              <w:rPr>
                <w:rFonts w:ascii="Segoe UI" w:eastAsia="Segoe UI" w:hAnsi="Segoe UI" w:cs="Segoe UI"/>
                <w:i/>
                <w:u w:val="single" w:color="000000"/>
              </w:rPr>
              <w:t>Technická kvalifikace</w:t>
            </w:r>
            <w:r>
              <w:rPr>
                <w:rFonts w:ascii="Segoe UI" w:eastAsia="Segoe UI" w:hAnsi="Segoe UI" w:cs="Segoe UI"/>
                <w:i/>
              </w:rPr>
              <w:t xml:space="preserve"> </w:t>
            </w:r>
          </w:p>
          <w:p w14:paraId="1D4A9205" w14:textId="77777777" w:rsidR="004008C0" w:rsidRDefault="004008C0" w:rsidP="004008C0">
            <w:pPr>
              <w:spacing w:line="263" w:lineRule="auto"/>
              <w:ind w:right="109"/>
              <w:jc w:val="both"/>
            </w:pPr>
            <w:r>
              <w:rPr>
                <w:rFonts w:ascii="Segoe UI" w:eastAsia="Segoe UI" w:hAnsi="Segoe UI" w:cs="Segoe UI"/>
                <w:i/>
              </w:rPr>
              <w:t xml:space="preserve">Zadavatel k prokázání kritérií technické kvalifikace požaduje seznam významných dodávek realizovaných za posledních 5 let před zahájením zadávacího řízení včetně uvedení ceny a doby jejich poskytnutí a identifikace objednatele. </w:t>
            </w:r>
            <w:r>
              <w:rPr>
                <w:rFonts w:ascii="Segoe UI" w:eastAsia="Segoe UI" w:hAnsi="Segoe UI" w:cs="Segoe UI"/>
                <w:b/>
                <w:i/>
              </w:rPr>
              <w:t>Účastníci mohou pro svou nabídku za účelem prokázání technické kvalifikace využít</w:t>
            </w:r>
            <w:r>
              <w:rPr>
                <w:rFonts w:ascii="Segoe UI" w:eastAsia="Segoe UI" w:hAnsi="Segoe UI" w:cs="Segoe UI"/>
                <w:i/>
              </w:rPr>
              <w:t xml:space="preserve"> </w:t>
            </w:r>
            <w:r>
              <w:rPr>
                <w:rFonts w:ascii="Segoe UI" w:eastAsia="Segoe UI" w:hAnsi="Segoe UI" w:cs="Segoe UI"/>
                <w:b/>
                <w:i/>
              </w:rPr>
              <w:t>přílohu č. 3 výzvy – Čestné prohlášení k technické kvalifikaci</w:t>
            </w:r>
            <w:r>
              <w:rPr>
                <w:rFonts w:ascii="Segoe UI" w:eastAsia="Segoe UI" w:hAnsi="Segoe UI" w:cs="Segoe UI"/>
                <w:i/>
              </w:rPr>
              <w:t xml:space="preserve">. Dodavatel, který podal nabídku na plnění veřejné zakázky, splňuje toto kritérium kvalifikace, pokud v posledních 5 letech před zahájením zadávacího řízení realizoval </w:t>
            </w:r>
            <w:r>
              <w:rPr>
                <w:rFonts w:ascii="Segoe UI" w:eastAsia="Segoe UI" w:hAnsi="Segoe UI" w:cs="Segoe UI"/>
                <w:b/>
                <w:i/>
              </w:rPr>
              <w:t>alespoň 2 významné dodávky s obdobným předmětem plnění.</w:t>
            </w:r>
            <w:r>
              <w:rPr>
                <w:rFonts w:ascii="Segoe UI" w:eastAsia="Segoe UI" w:hAnsi="Segoe UI" w:cs="Segoe UI"/>
                <w:i/>
              </w:rPr>
              <w:t xml:space="preserve">  </w:t>
            </w:r>
          </w:p>
          <w:p w14:paraId="7688EA3F" w14:textId="23803AC7" w:rsidR="004008C0" w:rsidRPr="00710534" w:rsidRDefault="00D31485" w:rsidP="00710534">
            <w:pPr>
              <w:spacing w:line="264" w:lineRule="auto"/>
              <w:ind w:right="115"/>
              <w:jc w:val="both"/>
              <w:rPr>
                <w:rFonts w:ascii="Segoe UI" w:hAnsi="Segoe UI" w:cs="Segoe UI"/>
                <w:b/>
                <w:bCs/>
                <w:i/>
              </w:rPr>
            </w:pPr>
            <w:r w:rsidRPr="00D31485">
              <w:rPr>
                <w:rFonts w:ascii="Segoe UI" w:hAnsi="Segoe UI" w:cs="Segoe UI"/>
                <w:i/>
              </w:rPr>
              <w:t xml:space="preserve">Za významnou zakázku s obdobným předmětem plnění zadavatel považuje takovou zakázku, jejíž </w:t>
            </w:r>
            <w:r w:rsidRPr="00D31485">
              <w:rPr>
                <w:rFonts w:ascii="Segoe UI" w:hAnsi="Segoe UI" w:cs="Segoe UI"/>
                <w:b/>
                <w:bCs/>
                <w:i/>
              </w:rPr>
              <w:t>plnění spočívalo v</w:t>
            </w:r>
            <w:r w:rsidR="00F86567">
              <w:rPr>
                <w:rFonts w:ascii="Segoe UI" w:hAnsi="Segoe UI" w:cs="Segoe UI"/>
                <w:b/>
                <w:bCs/>
                <w:i/>
              </w:rPr>
              <w:t xml:space="preserve"> instalaci </w:t>
            </w:r>
            <w:r w:rsidR="00F86567" w:rsidRPr="00F86567">
              <w:rPr>
                <w:rFonts w:ascii="Segoe UI" w:hAnsi="Segoe UI" w:cs="Segoe UI"/>
                <w:b/>
                <w:bCs/>
                <w:i/>
              </w:rPr>
              <w:t>herní plochy s polyuretanovým povrchem</w:t>
            </w:r>
            <w:r w:rsidRPr="00D31485">
              <w:rPr>
                <w:rFonts w:ascii="Segoe UI" w:hAnsi="Segoe UI" w:cs="Segoe UI"/>
                <w:b/>
                <w:bCs/>
                <w:i/>
              </w:rPr>
              <w:t xml:space="preserve"> a jejíž hodnota činila minimálně 1 </w:t>
            </w:r>
            <w:r w:rsidR="00F86567">
              <w:rPr>
                <w:rFonts w:ascii="Segoe UI" w:hAnsi="Segoe UI" w:cs="Segoe UI"/>
                <w:b/>
                <w:bCs/>
                <w:i/>
              </w:rPr>
              <w:t>0</w:t>
            </w:r>
            <w:r w:rsidRPr="00D31485">
              <w:rPr>
                <w:rFonts w:ascii="Segoe UI" w:hAnsi="Segoe UI" w:cs="Segoe UI"/>
                <w:b/>
                <w:bCs/>
                <w:i/>
              </w:rPr>
              <w:t>00 000,- Kč bez DPH.</w:t>
            </w:r>
          </w:p>
        </w:tc>
      </w:tr>
      <w:tr w:rsidR="0005611F" w:rsidRPr="00F7188E" w14:paraId="2A4563B5" w14:textId="77777777" w:rsidTr="00365BAE">
        <w:tc>
          <w:tcPr>
            <w:tcW w:w="9070" w:type="dxa"/>
          </w:tcPr>
          <w:p w14:paraId="38284064" w14:textId="77777777" w:rsidR="004008C0" w:rsidRDefault="004008C0" w:rsidP="004008C0">
            <w:pPr>
              <w:spacing w:after="5"/>
            </w:pPr>
            <w:r>
              <w:rPr>
                <w:rFonts w:ascii="Segoe UI" w:eastAsia="Segoe UI" w:hAnsi="Segoe UI" w:cs="Segoe UI"/>
                <w:b/>
              </w:rPr>
              <w:lastRenderedPageBreak/>
              <w:t>Obchodní podmínky a jiné smluvní podmínky:</w:t>
            </w:r>
            <w:r>
              <w:rPr>
                <w:rFonts w:ascii="Segoe UI" w:eastAsia="Segoe UI" w:hAnsi="Segoe UI" w:cs="Segoe UI"/>
              </w:rPr>
              <w:t xml:space="preserve"> </w:t>
            </w:r>
          </w:p>
          <w:p w14:paraId="49F3D529" w14:textId="7B3B0A53" w:rsidR="0005611F" w:rsidRPr="00F7188E" w:rsidRDefault="004008C0" w:rsidP="004008C0">
            <w:pPr>
              <w:spacing w:line="264" w:lineRule="auto"/>
              <w:jc w:val="both"/>
              <w:rPr>
                <w:rFonts w:ascii="Segoe UI" w:hAnsi="Segoe UI" w:cs="Segoe UI"/>
                <w:i/>
              </w:rPr>
            </w:pPr>
            <w:r>
              <w:rPr>
                <w:rFonts w:ascii="Segoe UI" w:eastAsia="Segoe UI" w:hAnsi="Segoe UI" w:cs="Segoe UI"/>
                <w:i/>
              </w:rPr>
              <w:t xml:space="preserve">Zadavatel jako přílohu č. 8 této výzvy přikládá závazný vzor smlouvy. Dodavatel se s tímto návrhem seznámí a doplněný návrh smlouvy přiloží ke své nabídce.  </w:t>
            </w:r>
          </w:p>
        </w:tc>
      </w:tr>
      <w:tr w:rsidR="0005611F" w:rsidRPr="00F7188E" w14:paraId="43139505" w14:textId="77777777" w:rsidTr="00365BAE">
        <w:tc>
          <w:tcPr>
            <w:tcW w:w="9070" w:type="dxa"/>
          </w:tcPr>
          <w:p w14:paraId="678B4388" w14:textId="77777777" w:rsidR="004008C0" w:rsidRDefault="004008C0" w:rsidP="004008C0">
            <w:pPr>
              <w:spacing w:after="5"/>
            </w:pPr>
            <w:r>
              <w:rPr>
                <w:rFonts w:ascii="Segoe UI" w:eastAsia="Segoe UI" w:hAnsi="Segoe UI" w:cs="Segoe UI"/>
                <w:b/>
              </w:rPr>
              <w:t>Požadavky na specifikaci případných poddodavatelů:</w:t>
            </w:r>
            <w:r>
              <w:rPr>
                <w:rFonts w:ascii="Segoe UI" w:eastAsia="Segoe UI" w:hAnsi="Segoe UI" w:cs="Segoe UI"/>
              </w:rPr>
              <w:t xml:space="preserve"> </w:t>
            </w:r>
          </w:p>
          <w:p w14:paraId="2BD26FB1" w14:textId="4309ECCA" w:rsidR="0005611F" w:rsidRPr="00F7188E" w:rsidRDefault="004008C0" w:rsidP="004008C0">
            <w:pPr>
              <w:spacing w:line="264" w:lineRule="auto"/>
              <w:jc w:val="both"/>
              <w:rPr>
                <w:rFonts w:ascii="Segoe UI" w:hAnsi="Segoe UI" w:cs="Segoe UI"/>
                <w:i/>
              </w:rPr>
            </w:pPr>
            <w:r>
              <w:rPr>
                <w:rFonts w:ascii="Segoe UI" w:eastAsia="Segoe UI" w:hAnsi="Segoe UI" w:cs="Segoe UI"/>
                <w:i/>
              </w:rPr>
              <w:t xml:space="preserve">Dodavatel vyplní přílohu č. 7 výzvy – Seznam poddodavatelů s uvedením údajů případných poddodavatelů, resp. uvedením informace, že dodavatel nemá v úmyslu část zakázky zadat jiné osobě.  </w:t>
            </w:r>
          </w:p>
        </w:tc>
      </w:tr>
      <w:tr w:rsidR="0005611F" w:rsidRPr="00F7188E" w14:paraId="356B08AC" w14:textId="77777777" w:rsidTr="00365BAE">
        <w:trPr>
          <w:trHeight w:val="70"/>
        </w:trPr>
        <w:tc>
          <w:tcPr>
            <w:tcW w:w="9070" w:type="dxa"/>
          </w:tcPr>
          <w:p w14:paraId="4F7DC61C" w14:textId="77777777" w:rsidR="004008C0" w:rsidRDefault="004008C0" w:rsidP="004008C0">
            <w:pPr>
              <w:spacing w:after="5"/>
            </w:pPr>
            <w:r>
              <w:rPr>
                <w:rFonts w:ascii="Segoe UI" w:eastAsia="Segoe UI" w:hAnsi="Segoe UI" w:cs="Segoe UI"/>
                <w:b/>
              </w:rPr>
              <w:t xml:space="preserve">Přílohy zadávacích podmínek: </w:t>
            </w:r>
          </w:p>
          <w:p w14:paraId="2725FD3C" w14:textId="77777777" w:rsidR="004008C0" w:rsidRDefault="004008C0" w:rsidP="004008C0">
            <w:pPr>
              <w:spacing w:after="5"/>
            </w:pPr>
            <w:r>
              <w:rPr>
                <w:rFonts w:ascii="Segoe UI" w:eastAsia="Segoe UI" w:hAnsi="Segoe UI" w:cs="Segoe UI"/>
                <w:i/>
              </w:rPr>
              <w:t xml:space="preserve">Příloha č. 1 – Krycí list nabídky </w:t>
            </w:r>
          </w:p>
          <w:p w14:paraId="7770B133" w14:textId="77777777" w:rsidR="004008C0" w:rsidRDefault="004008C0" w:rsidP="004008C0">
            <w:pPr>
              <w:spacing w:after="5"/>
            </w:pPr>
            <w:r>
              <w:rPr>
                <w:rFonts w:ascii="Segoe UI" w:eastAsia="Segoe UI" w:hAnsi="Segoe UI" w:cs="Segoe UI"/>
                <w:i/>
              </w:rPr>
              <w:t xml:space="preserve">Příloha č. 2 – Čestné prohlášení k základní způsobilosti </w:t>
            </w:r>
          </w:p>
          <w:p w14:paraId="394AD987" w14:textId="77777777" w:rsidR="004008C0" w:rsidRDefault="004008C0" w:rsidP="004008C0">
            <w:pPr>
              <w:spacing w:after="3"/>
            </w:pPr>
            <w:r>
              <w:rPr>
                <w:rFonts w:ascii="Segoe UI" w:eastAsia="Segoe UI" w:hAnsi="Segoe UI" w:cs="Segoe UI"/>
                <w:i/>
              </w:rPr>
              <w:t xml:space="preserve">Příloha č. 3 – Čestné prohlášení k technické kvalifikaci  </w:t>
            </w:r>
          </w:p>
          <w:p w14:paraId="0787EE62" w14:textId="77777777" w:rsidR="004008C0" w:rsidRDefault="004008C0" w:rsidP="004008C0">
            <w:pPr>
              <w:spacing w:after="5"/>
            </w:pPr>
            <w:r>
              <w:rPr>
                <w:rFonts w:ascii="Segoe UI" w:eastAsia="Segoe UI" w:hAnsi="Segoe UI" w:cs="Segoe UI"/>
                <w:i/>
              </w:rPr>
              <w:t xml:space="preserve">Příloha č. 4 – Technická specifikace a stanovení nabídkové ceny </w:t>
            </w:r>
          </w:p>
          <w:p w14:paraId="04D0CD05" w14:textId="77777777" w:rsidR="004008C0" w:rsidRDefault="004008C0" w:rsidP="004008C0">
            <w:pPr>
              <w:spacing w:after="5"/>
            </w:pPr>
            <w:r>
              <w:rPr>
                <w:rFonts w:ascii="Segoe UI" w:eastAsia="Segoe UI" w:hAnsi="Segoe UI" w:cs="Segoe UI"/>
                <w:i/>
              </w:rPr>
              <w:t xml:space="preserve">Příloha č. 5 – Čestné prohlášení o neexistenci střetu zájmů </w:t>
            </w:r>
          </w:p>
          <w:p w14:paraId="5955DAC2" w14:textId="77777777" w:rsidR="004008C0" w:rsidRDefault="004008C0" w:rsidP="004008C0">
            <w:pPr>
              <w:spacing w:after="5"/>
            </w:pPr>
            <w:r>
              <w:rPr>
                <w:rFonts w:ascii="Segoe UI" w:eastAsia="Segoe UI" w:hAnsi="Segoe UI" w:cs="Segoe UI"/>
                <w:i/>
              </w:rPr>
              <w:t xml:space="preserve">Příloha č. 6 – Čestné prohlášení ve vztahu k ruským/běloruským subjektům </w:t>
            </w:r>
          </w:p>
          <w:p w14:paraId="4DB6292E" w14:textId="77777777" w:rsidR="004008C0" w:rsidRDefault="004008C0" w:rsidP="004008C0">
            <w:pPr>
              <w:spacing w:after="5"/>
            </w:pPr>
            <w:r>
              <w:rPr>
                <w:rFonts w:ascii="Segoe UI" w:eastAsia="Segoe UI" w:hAnsi="Segoe UI" w:cs="Segoe UI"/>
                <w:i/>
              </w:rPr>
              <w:t xml:space="preserve">Příloha č. 7 – Seznam poddodavatelů </w:t>
            </w:r>
          </w:p>
          <w:p w14:paraId="240A2CF2" w14:textId="6056A858" w:rsidR="0005611F" w:rsidRPr="00F7188E" w:rsidRDefault="004008C0" w:rsidP="004008C0">
            <w:pPr>
              <w:spacing w:line="264" w:lineRule="auto"/>
              <w:jc w:val="both"/>
              <w:rPr>
                <w:rFonts w:ascii="Segoe UI" w:hAnsi="Segoe UI" w:cs="Segoe UI"/>
                <w:i/>
              </w:rPr>
            </w:pPr>
            <w:r>
              <w:rPr>
                <w:rFonts w:ascii="Segoe UI" w:eastAsia="Segoe UI" w:hAnsi="Segoe UI" w:cs="Segoe UI"/>
                <w:i/>
              </w:rPr>
              <w:t>Příloha č. 8 – Návrh smlouvy</w:t>
            </w:r>
          </w:p>
        </w:tc>
      </w:tr>
    </w:tbl>
    <w:p w14:paraId="66387045" w14:textId="55182022" w:rsidR="0005611F" w:rsidRPr="00F7188E" w:rsidRDefault="0005611F" w:rsidP="00CD3F76">
      <w:pPr>
        <w:spacing w:line="264" w:lineRule="auto"/>
        <w:jc w:val="both"/>
        <w:rPr>
          <w:rFonts w:ascii="Segoe UI" w:hAnsi="Segoe UI" w:cs="Segoe UI"/>
          <w:sz w:val="22"/>
          <w:szCs w:val="22"/>
        </w:rPr>
      </w:pPr>
    </w:p>
    <w:bookmarkEnd w:id="0"/>
    <w:p w14:paraId="3E3E2CCD" w14:textId="2353F7A6" w:rsidR="0005611F" w:rsidRPr="00F7188E" w:rsidRDefault="0005611F" w:rsidP="006B3579">
      <w:pPr>
        <w:pStyle w:val="Ploha"/>
        <w:spacing w:after="0" w:line="264" w:lineRule="auto"/>
        <w:jc w:val="both"/>
        <w:rPr>
          <w:rFonts w:ascii="Segoe UI" w:hAnsi="Segoe UI" w:cs="Segoe UI"/>
          <w:sz w:val="22"/>
          <w:szCs w:val="22"/>
        </w:rPr>
      </w:pPr>
    </w:p>
    <w:sectPr w:rsidR="0005611F" w:rsidRPr="00F7188E" w:rsidSect="00066660">
      <w:headerReference w:type="default" r:id="rId11"/>
      <w:footerReference w:type="default" r:id="rId12"/>
      <w:headerReference w:type="first" r:id="rId13"/>
      <w:type w:val="continuous"/>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78BC" w14:textId="77777777" w:rsidR="001A67AA" w:rsidRDefault="001A67AA" w:rsidP="005213B4">
      <w:r>
        <w:separator/>
      </w:r>
    </w:p>
  </w:endnote>
  <w:endnote w:type="continuationSeparator" w:id="0">
    <w:p w14:paraId="3410D4D7" w14:textId="77777777" w:rsidR="001A67AA" w:rsidRDefault="001A67AA" w:rsidP="005213B4">
      <w:r>
        <w:continuationSeparator/>
      </w:r>
    </w:p>
  </w:endnote>
  <w:endnote w:type="continuationNotice" w:id="1">
    <w:p w14:paraId="207288E5" w14:textId="77777777" w:rsidR="001A67AA" w:rsidRDefault="001A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2A07" w14:textId="170C8F9F" w:rsidR="00AF1BE7" w:rsidRPr="007B1E55" w:rsidRDefault="00AF1BE7" w:rsidP="00A31C84">
    <w:pPr>
      <w:pStyle w:val="Zpat"/>
      <w:tabs>
        <w:tab w:val="clear" w:pos="9072"/>
        <w:tab w:val="right" w:pos="6946"/>
      </w:tabs>
      <w:ind w:right="2126"/>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A31C84">
      <w:rPr>
        <w:rFonts w:ascii="Segoe UI" w:hAnsi="Segoe UI" w:cs="Segoe UI"/>
        <w:noProof/>
        <w:lang w:eastAsia="cs-CZ"/>
      </w:rPr>
      <w:t xml:space="preserve"> </w:t>
    </w:r>
    <w:r w:rsidRPr="007B1E55">
      <w:rPr>
        <w:rFonts w:ascii="Segoe UI" w:hAnsi="Segoe UI" w:cs="Segoe UI"/>
        <w:noProof/>
        <w:lang w:eastAsia="cs-CZ"/>
      </w:rPr>
      <w:t>pro období 2021</w:t>
    </w:r>
    <w:r w:rsidR="00387FB3" w:rsidRPr="00387FB3">
      <w:rPr>
        <w:rFonts w:ascii="Segoe UI" w:hAnsi="Segoe UI" w:cs="Segoe UI"/>
        <w:noProof/>
        <w:lang w:eastAsia="cs-CZ"/>
      </w:rPr>
      <w:t>–</w:t>
    </w:r>
    <w:r w:rsidRPr="007B1E55">
      <w:rPr>
        <w:rFonts w:ascii="Segoe UI" w:hAnsi="Segoe UI" w:cs="Segoe UI"/>
        <w:noProof/>
        <w:lang w:eastAsia="cs-CZ"/>
      </w:rPr>
      <w:t>2027</w:t>
    </w:r>
    <w:r w:rsidRPr="007B1E55">
      <w:rPr>
        <w:rFonts w:ascii="Segoe UI" w:hAnsi="Segoe UI" w:cs="Segoe UI"/>
      </w:rPr>
      <w:t xml:space="preserve">, verze </w:t>
    </w:r>
    <w:r w:rsidR="00366ED8">
      <w:rPr>
        <w:rFonts w:ascii="Segoe UI" w:hAnsi="Segoe UI" w:cs="Segoe U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E0A1" w14:textId="77777777" w:rsidR="001A67AA" w:rsidRDefault="001A67AA" w:rsidP="005213B4">
      <w:r>
        <w:separator/>
      </w:r>
    </w:p>
  </w:footnote>
  <w:footnote w:type="continuationSeparator" w:id="0">
    <w:p w14:paraId="10DF46CB" w14:textId="77777777" w:rsidR="001A67AA" w:rsidRDefault="001A67AA" w:rsidP="005213B4">
      <w:r>
        <w:continuationSeparator/>
      </w:r>
    </w:p>
  </w:footnote>
  <w:footnote w:type="continuationNotice" w:id="1">
    <w:p w14:paraId="2F9D9DA8" w14:textId="77777777" w:rsidR="001A67AA" w:rsidRDefault="001A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339A" w14:textId="57E9B865"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ED58" w14:textId="3C53F26D" w:rsidR="00066660" w:rsidRDefault="00066660">
    <w:pPr>
      <w:pStyle w:val="Zhlav"/>
    </w:pPr>
    <w:r w:rsidRPr="00F37117">
      <w:rPr>
        <w:noProof/>
        <w:lang w:eastAsia="cs-CZ"/>
      </w:rPr>
      <w:drawing>
        <wp:inline distT="0" distB="0" distL="0" distR="0" wp14:anchorId="7B882379" wp14:editId="51BF38CF">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3971CAD"/>
    <w:multiLevelType w:val="hybridMultilevel"/>
    <w:tmpl w:val="2F5E8346"/>
    <w:lvl w:ilvl="0" w:tplc="11CABDCC">
      <w:start w:val="15"/>
      <w:numFmt w:val="bullet"/>
      <w:lvlText w:val="-"/>
      <w:lvlJc w:val="left"/>
      <w:pPr>
        <w:ind w:left="720" w:hanging="360"/>
      </w:pPr>
      <w:rPr>
        <w:rFonts w:ascii="Arial" w:eastAsiaTheme="minorHAns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48296C"/>
    <w:multiLevelType w:val="hybridMultilevel"/>
    <w:tmpl w:val="BD48EDA2"/>
    <w:lvl w:ilvl="0" w:tplc="11CABDCC">
      <w:start w:val="15"/>
      <w:numFmt w:val="bullet"/>
      <w:lvlText w:val="-"/>
      <w:lvlJc w:val="left"/>
      <w:pPr>
        <w:ind w:left="720" w:hanging="360"/>
      </w:pPr>
      <w:rPr>
        <w:rFonts w:ascii="Arial" w:eastAsiaTheme="minorHAns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1"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A687FBE"/>
    <w:multiLevelType w:val="hybridMultilevel"/>
    <w:tmpl w:val="F88CDB56"/>
    <w:lvl w:ilvl="0" w:tplc="16B4712C">
      <w:start w:val="1"/>
      <w:numFmt w:val="lowerLetter"/>
      <w:lvlText w:val="%1)"/>
      <w:lvlJc w:val="left"/>
      <w:pPr>
        <w:ind w:left="72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1" w:tplc="35AC52E2">
      <w:start w:val="1"/>
      <w:numFmt w:val="lowerLetter"/>
      <w:lvlText w:val="%2"/>
      <w:lvlJc w:val="left"/>
      <w:pPr>
        <w:ind w:left="15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2" w:tplc="1EE0EE46">
      <w:start w:val="1"/>
      <w:numFmt w:val="lowerRoman"/>
      <w:lvlText w:val="%3"/>
      <w:lvlJc w:val="left"/>
      <w:pPr>
        <w:ind w:left="22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3" w:tplc="AF164B0C">
      <w:start w:val="1"/>
      <w:numFmt w:val="decimal"/>
      <w:lvlText w:val="%4"/>
      <w:lvlJc w:val="left"/>
      <w:pPr>
        <w:ind w:left="29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4" w:tplc="7228DB84">
      <w:start w:val="1"/>
      <w:numFmt w:val="lowerLetter"/>
      <w:lvlText w:val="%5"/>
      <w:lvlJc w:val="left"/>
      <w:pPr>
        <w:ind w:left="370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5" w:tplc="127ED600">
      <w:start w:val="1"/>
      <w:numFmt w:val="lowerRoman"/>
      <w:lvlText w:val="%6"/>
      <w:lvlJc w:val="left"/>
      <w:pPr>
        <w:ind w:left="442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6" w:tplc="7F5A2D38">
      <w:start w:val="1"/>
      <w:numFmt w:val="decimal"/>
      <w:lvlText w:val="%7"/>
      <w:lvlJc w:val="left"/>
      <w:pPr>
        <w:ind w:left="51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7" w:tplc="23E0AF40">
      <w:start w:val="1"/>
      <w:numFmt w:val="lowerLetter"/>
      <w:lvlText w:val="%8"/>
      <w:lvlJc w:val="left"/>
      <w:pPr>
        <w:ind w:left="58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8" w:tplc="95B8254A">
      <w:start w:val="1"/>
      <w:numFmt w:val="lowerRoman"/>
      <w:lvlText w:val="%9"/>
      <w:lvlJc w:val="left"/>
      <w:pPr>
        <w:ind w:left="65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2"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6"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7DBC728C"/>
    <w:multiLevelType w:val="hybridMultilevel"/>
    <w:tmpl w:val="80B03E0C"/>
    <w:lvl w:ilvl="0" w:tplc="E23EE8F4">
      <w:start w:val="1"/>
      <w:numFmt w:val="decimal"/>
      <w:lvlText w:val="%1."/>
      <w:lvlJc w:val="left"/>
      <w:pPr>
        <w:ind w:left="72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1" w:tplc="88884FA0">
      <w:start w:val="1"/>
      <w:numFmt w:val="lowerLetter"/>
      <w:lvlText w:val="%2"/>
      <w:lvlJc w:val="left"/>
      <w:pPr>
        <w:ind w:left="15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2" w:tplc="1E4A4280">
      <w:start w:val="1"/>
      <w:numFmt w:val="lowerRoman"/>
      <w:lvlText w:val="%3"/>
      <w:lvlJc w:val="left"/>
      <w:pPr>
        <w:ind w:left="22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3" w:tplc="7A8A7BDC">
      <w:start w:val="1"/>
      <w:numFmt w:val="decimal"/>
      <w:lvlText w:val="%4"/>
      <w:lvlJc w:val="left"/>
      <w:pPr>
        <w:ind w:left="29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4" w:tplc="3DDC9950">
      <w:start w:val="1"/>
      <w:numFmt w:val="lowerLetter"/>
      <w:lvlText w:val="%5"/>
      <w:lvlJc w:val="left"/>
      <w:pPr>
        <w:ind w:left="370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5" w:tplc="3DE4E1B4">
      <w:start w:val="1"/>
      <w:numFmt w:val="lowerRoman"/>
      <w:lvlText w:val="%6"/>
      <w:lvlJc w:val="left"/>
      <w:pPr>
        <w:ind w:left="442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6" w:tplc="5ECAC6A2">
      <w:start w:val="1"/>
      <w:numFmt w:val="decimal"/>
      <w:lvlText w:val="%7"/>
      <w:lvlJc w:val="left"/>
      <w:pPr>
        <w:ind w:left="51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7" w:tplc="BEAA0BEE">
      <w:start w:val="1"/>
      <w:numFmt w:val="lowerLetter"/>
      <w:lvlText w:val="%8"/>
      <w:lvlJc w:val="left"/>
      <w:pPr>
        <w:ind w:left="58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8" w:tplc="1A020898">
      <w:start w:val="1"/>
      <w:numFmt w:val="lowerRoman"/>
      <w:lvlText w:val="%9"/>
      <w:lvlJc w:val="left"/>
      <w:pPr>
        <w:ind w:left="65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3"/>
  </w:num>
  <w:num w:numId="3">
    <w:abstractNumId w:val="3"/>
  </w:num>
  <w:num w:numId="4">
    <w:abstractNumId w:val="22"/>
  </w:num>
  <w:num w:numId="5">
    <w:abstractNumId w:val="17"/>
  </w:num>
  <w:num w:numId="6">
    <w:abstractNumId w:val="24"/>
  </w:num>
  <w:num w:numId="7">
    <w:abstractNumId w:val="10"/>
  </w:num>
  <w:num w:numId="8">
    <w:abstractNumId w:val="4"/>
  </w:num>
  <w:num w:numId="9">
    <w:abstractNumId w:val="6"/>
  </w:num>
  <w:num w:numId="10">
    <w:abstractNumId w:val="23"/>
  </w:num>
  <w:num w:numId="11">
    <w:abstractNumId w:val="27"/>
  </w:num>
  <w:num w:numId="12">
    <w:abstractNumId w:val="18"/>
  </w:num>
  <w:num w:numId="13">
    <w:abstractNumId w:val="18"/>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8"/>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5"/>
  </w:num>
  <w:num w:numId="16">
    <w:abstractNumId w:val="16"/>
  </w:num>
  <w:num w:numId="17">
    <w:abstractNumId w:val="8"/>
  </w:num>
  <w:num w:numId="18">
    <w:abstractNumId w:val="25"/>
  </w:num>
  <w:num w:numId="19">
    <w:abstractNumId w:val="1"/>
  </w:num>
  <w:num w:numId="20">
    <w:abstractNumId w:val="9"/>
  </w:num>
  <w:num w:numId="21">
    <w:abstractNumId w:val="21"/>
  </w:num>
  <w:num w:numId="22">
    <w:abstractNumId w:val="23"/>
  </w:num>
  <w:num w:numId="23">
    <w:abstractNumId w:val="0"/>
  </w:num>
  <w:num w:numId="24">
    <w:abstractNumId w:val="26"/>
  </w:num>
  <w:num w:numId="25">
    <w:abstractNumId w:val="23"/>
  </w:num>
  <w:num w:numId="26">
    <w:abstractNumId w:val="23"/>
  </w:num>
  <w:num w:numId="27">
    <w:abstractNumId w:val="23"/>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num>
  <w:num w:numId="32">
    <w:abstractNumId w:val="14"/>
  </w:num>
  <w:num w:numId="33">
    <w:abstractNumId w:val="19"/>
  </w:num>
  <w:num w:numId="34">
    <w:abstractNumId w:val="11"/>
  </w:num>
  <w:num w:numId="35">
    <w:abstractNumId w:val="2"/>
  </w:num>
  <w:num w:numId="36">
    <w:abstractNumId w:val="5"/>
  </w:num>
  <w:num w:numId="37">
    <w:abstractNumId w:val="7"/>
  </w:num>
  <w:num w:numId="38">
    <w:abstractNumId w:val="28"/>
  </w:num>
  <w:num w:numId="3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578F"/>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661"/>
    <w:rsid w:val="000367AE"/>
    <w:rsid w:val="00037494"/>
    <w:rsid w:val="00037633"/>
    <w:rsid w:val="00037AA3"/>
    <w:rsid w:val="00040D2E"/>
    <w:rsid w:val="0004173D"/>
    <w:rsid w:val="00042302"/>
    <w:rsid w:val="00042C3C"/>
    <w:rsid w:val="0004346C"/>
    <w:rsid w:val="000444F5"/>
    <w:rsid w:val="00044791"/>
    <w:rsid w:val="00044BC6"/>
    <w:rsid w:val="000452D5"/>
    <w:rsid w:val="00046C13"/>
    <w:rsid w:val="00050612"/>
    <w:rsid w:val="00051735"/>
    <w:rsid w:val="0005180C"/>
    <w:rsid w:val="00051994"/>
    <w:rsid w:val="00052B2C"/>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660"/>
    <w:rsid w:val="00066F8B"/>
    <w:rsid w:val="0006740D"/>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C9E"/>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A28"/>
    <w:rsid w:val="000A5E61"/>
    <w:rsid w:val="000A600F"/>
    <w:rsid w:val="000A6DEF"/>
    <w:rsid w:val="000A72DF"/>
    <w:rsid w:val="000A7319"/>
    <w:rsid w:val="000A7727"/>
    <w:rsid w:val="000B018D"/>
    <w:rsid w:val="000B0191"/>
    <w:rsid w:val="000B0CEA"/>
    <w:rsid w:val="000B1455"/>
    <w:rsid w:val="000B18E1"/>
    <w:rsid w:val="000B2874"/>
    <w:rsid w:val="000B2940"/>
    <w:rsid w:val="000B29ED"/>
    <w:rsid w:val="000B3133"/>
    <w:rsid w:val="000B375E"/>
    <w:rsid w:val="000B3A84"/>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C8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6F2E"/>
    <w:rsid w:val="0010735C"/>
    <w:rsid w:val="00107F5E"/>
    <w:rsid w:val="00111524"/>
    <w:rsid w:val="00111F2D"/>
    <w:rsid w:val="00112116"/>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3588"/>
    <w:rsid w:val="00154645"/>
    <w:rsid w:val="0015576A"/>
    <w:rsid w:val="00155CB8"/>
    <w:rsid w:val="00156967"/>
    <w:rsid w:val="00157648"/>
    <w:rsid w:val="00157C82"/>
    <w:rsid w:val="00157F7B"/>
    <w:rsid w:val="001629F2"/>
    <w:rsid w:val="00162BAF"/>
    <w:rsid w:val="001630B7"/>
    <w:rsid w:val="00163EB1"/>
    <w:rsid w:val="0016461D"/>
    <w:rsid w:val="00164968"/>
    <w:rsid w:val="00164D9E"/>
    <w:rsid w:val="00164F76"/>
    <w:rsid w:val="00165106"/>
    <w:rsid w:val="00165E79"/>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A27"/>
    <w:rsid w:val="00195E5D"/>
    <w:rsid w:val="001973BD"/>
    <w:rsid w:val="00197A17"/>
    <w:rsid w:val="00197AC3"/>
    <w:rsid w:val="001A0262"/>
    <w:rsid w:val="001A0627"/>
    <w:rsid w:val="001A0969"/>
    <w:rsid w:val="001A0CF1"/>
    <w:rsid w:val="001A19F6"/>
    <w:rsid w:val="001A1B3F"/>
    <w:rsid w:val="001A2901"/>
    <w:rsid w:val="001A2A83"/>
    <w:rsid w:val="001A2AC0"/>
    <w:rsid w:val="001A505A"/>
    <w:rsid w:val="001A5194"/>
    <w:rsid w:val="001A6608"/>
    <w:rsid w:val="001A67AA"/>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3D5"/>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84B"/>
    <w:rsid w:val="00202128"/>
    <w:rsid w:val="00202752"/>
    <w:rsid w:val="00202F06"/>
    <w:rsid w:val="00202F41"/>
    <w:rsid w:val="00202FF5"/>
    <w:rsid w:val="00203B5D"/>
    <w:rsid w:val="00205092"/>
    <w:rsid w:val="002053B0"/>
    <w:rsid w:val="00205432"/>
    <w:rsid w:val="002054F8"/>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0E65"/>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6FDD"/>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4D0"/>
    <w:rsid w:val="00260730"/>
    <w:rsid w:val="0026096A"/>
    <w:rsid w:val="00261A9A"/>
    <w:rsid w:val="0026213C"/>
    <w:rsid w:val="0026275F"/>
    <w:rsid w:val="00262B58"/>
    <w:rsid w:val="002636DF"/>
    <w:rsid w:val="0026392A"/>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5A0"/>
    <w:rsid w:val="002B181C"/>
    <w:rsid w:val="002B1A9B"/>
    <w:rsid w:val="002B1B7E"/>
    <w:rsid w:val="002B1D8B"/>
    <w:rsid w:val="002B229F"/>
    <w:rsid w:val="002B3075"/>
    <w:rsid w:val="002B371C"/>
    <w:rsid w:val="002B4482"/>
    <w:rsid w:val="002B4512"/>
    <w:rsid w:val="002B4635"/>
    <w:rsid w:val="002B473D"/>
    <w:rsid w:val="002B4B70"/>
    <w:rsid w:val="002B51FA"/>
    <w:rsid w:val="002B5408"/>
    <w:rsid w:val="002C004C"/>
    <w:rsid w:val="002C08C0"/>
    <w:rsid w:val="002C1F7A"/>
    <w:rsid w:val="002C20DB"/>
    <w:rsid w:val="002C2A9A"/>
    <w:rsid w:val="002C2E5B"/>
    <w:rsid w:val="002C3886"/>
    <w:rsid w:val="002C391E"/>
    <w:rsid w:val="002C3A2C"/>
    <w:rsid w:val="002C3BB4"/>
    <w:rsid w:val="002C4237"/>
    <w:rsid w:val="002C43E1"/>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20B0"/>
    <w:rsid w:val="002E363B"/>
    <w:rsid w:val="002E3CEE"/>
    <w:rsid w:val="002E4323"/>
    <w:rsid w:val="002E54DE"/>
    <w:rsid w:val="002E583A"/>
    <w:rsid w:val="002E702B"/>
    <w:rsid w:val="002E7159"/>
    <w:rsid w:val="002E72F5"/>
    <w:rsid w:val="002F06A3"/>
    <w:rsid w:val="002F0732"/>
    <w:rsid w:val="002F0ADF"/>
    <w:rsid w:val="002F1138"/>
    <w:rsid w:val="002F138C"/>
    <w:rsid w:val="002F179D"/>
    <w:rsid w:val="002F2E49"/>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0A3"/>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BAE"/>
    <w:rsid w:val="00365DEB"/>
    <w:rsid w:val="00366DD0"/>
    <w:rsid w:val="00366ED8"/>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B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31"/>
    <w:rsid w:val="003C225E"/>
    <w:rsid w:val="003C2369"/>
    <w:rsid w:val="003C273E"/>
    <w:rsid w:val="003C2A6E"/>
    <w:rsid w:val="003C2C8F"/>
    <w:rsid w:val="003C2D0C"/>
    <w:rsid w:val="003C4456"/>
    <w:rsid w:val="003C46BB"/>
    <w:rsid w:val="003C5124"/>
    <w:rsid w:val="003C6BC7"/>
    <w:rsid w:val="003C71ED"/>
    <w:rsid w:val="003C7E97"/>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087"/>
    <w:rsid w:val="003F74F7"/>
    <w:rsid w:val="003F7A8D"/>
    <w:rsid w:val="00400127"/>
    <w:rsid w:val="004004FC"/>
    <w:rsid w:val="0040055B"/>
    <w:rsid w:val="004008C0"/>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7FA"/>
    <w:rsid w:val="00423C5D"/>
    <w:rsid w:val="0042440E"/>
    <w:rsid w:val="00424952"/>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4D45"/>
    <w:rsid w:val="004553FA"/>
    <w:rsid w:val="00455634"/>
    <w:rsid w:val="00455B65"/>
    <w:rsid w:val="004565A5"/>
    <w:rsid w:val="0045735F"/>
    <w:rsid w:val="00457A96"/>
    <w:rsid w:val="00457F6E"/>
    <w:rsid w:val="0046003B"/>
    <w:rsid w:val="0046020D"/>
    <w:rsid w:val="004607FC"/>
    <w:rsid w:val="00461788"/>
    <w:rsid w:val="00461B58"/>
    <w:rsid w:val="00461DDB"/>
    <w:rsid w:val="0046223A"/>
    <w:rsid w:val="004625FD"/>
    <w:rsid w:val="004631AD"/>
    <w:rsid w:val="004631DA"/>
    <w:rsid w:val="0046397D"/>
    <w:rsid w:val="00463D6C"/>
    <w:rsid w:val="00464EBB"/>
    <w:rsid w:val="004679D9"/>
    <w:rsid w:val="00467C50"/>
    <w:rsid w:val="00470E7B"/>
    <w:rsid w:val="00471717"/>
    <w:rsid w:val="00471988"/>
    <w:rsid w:val="00471E95"/>
    <w:rsid w:val="0047207E"/>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610"/>
    <w:rsid w:val="004B2CA6"/>
    <w:rsid w:val="004B3721"/>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0D"/>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1488"/>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67EF4"/>
    <w:rsid w:val="0057033F"/>
    <w:rsid w:val="00570CEC"/>
    <w:rsid w:val="0057106F"/>
    <w:rsid w:val="0057179C"/>
    <w:rsid w:val="00571F69"/>
    <w:rsid w:val="005722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3A3"/>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A60"/>
    <w:rsid w:val="005D7DDB"/>
    <w:rsid w:val="005E104E"/>
    <w:rsid w:val="005E11BB"/>
    <w:rsid w:val="005E138F"/>
    <w:rsid w:val="005E13B0"/>
    <w:rsid w:val="005E19A0"/>
    <w:rsid w:val="005E2502"/>
    <w:rsid w:val="005E290C"/>
    <w:rsid w:val="005E3C5D"/>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6C1A"/>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2CDE"/>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579"/>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33F8"/>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4753"/>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534"/>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42A"/>
    <w:rsid w:val="00785CE0"/>
    <w:rsid w:val="007861DA"/>
    <w:rsid w:val="00786880"/>
    <w:rsid w:val="00787BCF"/>
    <w:rsid w:val="00787D1F"/>
    <w:rsid w:val="00787E9D"/>
    <w:rsid w:val="00790853"/>
    <w:rsid w:val="007913E1"/>
    <w:rsid w:val="00792CED"/>
    <w:rsid w:val="0079303E"/>
    <w:rsid w:val="0079373E"/>
    <w:rsid w:val="007941B2"/>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4343"/>
    <w:rsid w:val="007D5B3E"/>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0EC3"/>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AAF"/>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309"/>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2EF"/>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291"/>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35A"/>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856"/>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151"/>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540"/>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056"/>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B7768"/>
    <w:rsid w:val="009C05D0"/>
    <w:rsid w:val="009C08A9"/>
    <w:rsid w:val="009C10B1"/>
    <w:rsid w:val="009C2DD8"/>
    <w:rsid w:val="009C35BE"/>
    <w:rsid w:val="009C3639"/>
    <w:rsid w:val="009C36EC"/>
    <w:rsid w:val="009C3E4D"/>
    <w:rsid w:val="009C4378"/>
    <w:rsid w:val="009C571F"/>
    <w:rsid w:val="009C6102"/>
    <w:rsid w:val="009C6ADA"/>
    <w:rsid w:val="009C6BCF"/>
    <w:rsid w:val="009C72F5"/>
    <w:rsid w:val="009C7673"/>
    <w:rsid w:val="009C7A51"/>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65"/>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1C84"/>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9B2"/>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53A"/>
    <w:rsid w:val="00B30959"/>
    <w:rsid w:val="00B30ED7"/>
    <w:rsid w:val="00B3176F"/>
    <w:rsid w:val="00B31BC7"/>
    <w:rsid w:val="00B31BED"/>
    <w:rsid w:val="00B32729"/>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00D0"/>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09B7"/>
    <w:rsid w:val="00B61FF3"/>
    <w:rsid w:val="00B62372"/>
    <w:rsid w:val="00B634D7"/>
    <w:rsid w:val="00B64796"/>
    <w:rsid w:val="00B64F27"/>
    <w:rsid w:val="00B65112"/>
    <w:rsid w:val="00B6635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16"/>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161"/>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3E24"/>
    <w:rsid w:val="00BE4631"/>
    <w:rsid w:val="00BE4DDC"/>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0806"/>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6876"/>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4B"/>
    <w:rsid w:val="00C61606"/>
    <w:rsid w:val="00C616A2"/>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6F8"/>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3F76"/>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281"/>
    <w:rsid w:val="00D158CB"/>
    <w:rsid w:val="00D15C96"/>
    <w:rsid w:val="00D164A1"/>
    <w:rsid w:val="00D1B914"/>
    <w:rsid w:val="00D2067D"/>
    <w:rsid w:val="00D20962"/>
    <w:rsid w:val="00D21909"/>
    <w:rsid w:val="00D21B64"/>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485"/>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2F23"/>
    <w:rsid w:val="00D434B9"/>
    <w:rsid w:val="00D43ACE"/>
    <w:rsid w:val="00D44F7E"/>
    <w:rsid w:val="00D45AAC"/>
    <w:rsid w:val="00D45D4A"/>
    <w:rsid w:val="00D45FD7"/>
    <w:rsid w:val="00D4659E"/>
    <w:rsid w:val="00D46BF0"/>
    <w:rsid w:val="00D46ED3"/>
    <w:rsid w:val="00D47E6E"/>
    <w:rsid w:val="00D47FBF"/>
    <w:rsid w:val="00D51063"/>
    <w:rsid w:val="00D51457"/>
    <w:rsid w:val="00D51544"/>
    <w:rsid w:val="00D51777"/>
    <w:rsid w:val="00D51931"/>
    <w:rsid w:val="00D5205A"/>
    <w:rsid w:val="00D5254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05B"/>
    <w:rsid w:val="00D6722C"/>
    <w:rsid w:val="00D674F2"/>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18A"/>
    <w:rsid w:val="00D97B08"/>
    <w:rsid w:val="00DA0F01"/>
    <w:rsid w:val="00DA236F"/>
    <w:rsid w:val="00DA5C00"/>
    <w:rsid w:val="00DA5F80"/>
    <w:rsid w:val="00DA71AB"/>
    <w:rsid w:val="00DB0426"/>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9A1"/>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174D4"/>
    <w:rsid w:val="00E2070B"/>
    <w:rsid w:val="00E208EF"/>
    <w:rsid w:val="00E218A4"/>
    <w:rsid w:val="00E23E58"/>
    <w:rsid w:val="00E244BB"/>
    <w:rsid w:val="00E24CC5"/>
    <w:rsid w:val="00E25135"/>
    <w:rsid w:val="00E2579F"/>
    <w:rsid w:val="00E2589A"/>
    <w:rsid w:val="00E25A17"/>
    <w:rsid w:val="00E25EA1"/>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67E7F"/>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034"/>
    <w:rsid w:val="00E842B8"/>
    <w:rsid w:val="00E84E2B"/>
    <w:rsid w:val="00E85406"/>
    <w:rsid w:val="00E8605C"/>
    <w:rsid w:val="00E86292"/>
    <w:rsid w:val="00E86FCE"/>
    <w:rsid w:val="00E87754"/>
    <w:rsid w:val="00E90393"/>
    <w:rsid w:val="00E9231E"/>
    <w:rsid w:val="00E93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0AB"/>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4E8A"/>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3E7A"/>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53E4"/>
    <w:rsid w:val="00F86567"/>
    <w:rsid w:val="00F8664B"/>
    <w:rsid w:val="00F86BBA"/>
    <w:rsid w:val="00F91645"/>
    <w:rsid w:val="00F91D7B"/>
    <w:rsid w:val="00F926D0"/>
    <w:rsid w:val="00F92BBD"/>
    <w:rsid w:val="00F93ADB"/>
    <w:rsid w:val="00F93BD9"/>
    <w:rsid w:val="00F942B7"/>
    <w:rsid w:val="00F94EF0"/>
    <w:rsid w:val="00F951F8"/>
    <w:rsid w:val="00F95A87"/>
    <w:rsid w:val="00F966D0"/>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380C"/>
    <w:rsid w:val="00FB419B"/>
    <w:rsid w:val="00FB41C9"/>
    <w:rsid w:val="00FB4EEE"/>
    <w:rsid w:val="00FB5076"/>
    <w:rsid w:val="00FB62B7"/>
    <w:rsid w:val="00FB6A81"/>
    <w:rsid w:val="00FC0AAD"/>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92F"/>
    <w:rsid w:val="00FE2B29"/>
    <w:rsid w:val="00FE319A"/>
    <w:rsid w:val="00FE3A17"/>
    <w:rsid w:val="00FE3DC8"/>
    <w:rsid w:val="00FE40DD"/>
    <w:rsid w:val="00FE5066"/>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366ED8"/>
    <w:pPr>
      <w:tabs>
        <w:tab w:val="right" w:leader="dot" w:pos="9062"/>
      </w:tabs>
      <w:spacing w:before="60"/>
      <w:ind w:left="851" w:hanging="851"/>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A31C84"/>
    <w:pPr>
      <w:spacing w:before="120"/>
      <w:jc w:val="both"/>
    </w:pPr>
    <w:rPr>
      <w:rFonts w:ascii="Segoe UI" w:hAnsi="Segoe UI"/>
      <w:sz w:val="16"/>
    </w:rPr>
  </w:style>
  <w:style w:type="character" w:customStyle="1" w:styleId="TextpoznpodarouChar">
    <w:name w:val="Text pozn. pod čarou Char"/>
    <w:basedOn w:val="Standardnpsmoodstavce"/>
    <w:link w:val="Textpoznpodarou"/>
    <w:uiPriority w:val="99"/>
    <w:rsid w:val="00A31C84"/>
    <w:rPr>
      <w:rFonts w:ascii="Segoe UI" w:hAnsi="Segoe UI"/>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8877">
      <w:bodyDiv w:val="1"/>
      <w:marLeft w:val="0"/>
      <w:marRight w:val="0"/>
      <w:marTop w:val="0"/>
      <w:marBottom w:val="0"/>
      <w:divBdr>
        <w:top w:val="none" w:sz="0" w:space="0" w:color="auto"/>
        <w:left w:val="none" w:sz="0" w:space="0" w:color="auto"/>
        <w:bottom w:val="none" w:sz="0" w:space="0" w:color="auto"/>
        <w:right w:val="none" w:sz="0" w:space="0" w:color="auto"/>
      </w:divBdr>
    </w:div>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582908672">
      <w:bodyDiv w:val="1"/>
      <w:marLeft w:val="0"/>
      <w:marRight w:val="0"/>
      <w:marTop w:val="0"/>
      <w:marBottom w:val="0"/>
      <w:divBdr>
        <w:top w:val="none" w:sz="0" w:space="0" w:color="auto"/>
        <w:left w:val="none" w:sz="0" w:space="0" w:color="auto"/>
        <w:bottom w:val="none" w:sz="0" w:space="0" w:color="auto"/>
        <w:right w:val="none" w:sz="0" w:space="0" w:color="auto"/>
      </w:divBdr>
    </w:div>
    <w:div w:id="700206371">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006633005">
      <w:bodyDiv w:val="1"/>
      <w:marLeft w:val="0"/>
      <w:marRight w:val="0"/>
      <w:marTop w:val="0"/>
      <w:marBottom w:val="0"/>
      <w:divBdr>
        <w:top w:val="none" w:sz="0" w:space="0" w:color="auto"/>
        <w:left w:val="none" w:sz="0" w:space="0" w:color="auto"/>
        <w:bottom w:val="none" w:sz="0" w:space="0" w:color="auto"/>
        <w:right w:val="none" w:sz="0" w:space="0" w:color="auto"/>
      </w:divBdr>
    </w:div>
    <w:div w:id="184111946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 w:id="1957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37C006DC-3601-4B70-876D-3660B593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6467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radka.palatova</dc:creator>
  <cp:lastModifiedBy>Radka Palátová</cp:lastModifiedBy>
  <cp:revision>2</cp:revision>
  <cp:lastPrinted>2025-04-03T12:04:00Z</cp:lastPrinted>
  <dcterms:created xsi:type="dcterms:W3CDTF">2025-06-26T10:08:00Z</dcterms:created>
  <dcterms:modified xsi:type="dcterms:W3CDTF">2025-06-26T10:08:00Z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